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_rels/header2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52" w:before="0" w:after="255"/>
        <w:ind w:hanging="0" w:start="0" w:end="1305"/>
        <w:jc w:val="end"/>
        <w:rPr>
          <w:rFonts w:ascii="Calibri" w:hAnsi="Calibri" w:eastAsia="Calibri" w:cs="Calibri"/>
          <w:color w:val="666666"/>
          <w:u w:val="single" w:color="666666"/>
        </w:rPr>
      </w:pPr>
      <w:r>
        <w:rPr>
          <w:rFonts w:eastAsia="Calibri" w:cs="Calibri" w:ascii="Calibri" w:hAnsi="Calibri"/>
          <w:color w:val="666666"/>
          <w:u w:val="single" w:color="666666"/>
        </w:rPr>
      </w:r>
    </w:p>
    <w:tbl>
      <w:tblPr>
        <w:tblW w:w="9210" w:type="dxa"/>
        <w:jc w:val="start"/>
        <w:tblInd w:w="10" w:type="dxa"/>
        <w:tblLayout w:type="fixed"/>
        <w:tblCellMar>
          <w:top w:w="62" w:type="dxa"/>
          <w:start w:w="56" w:type="dxa"/>
          <w:bottom w:w="0" w:type="dxa"/>
          <w:end w:w="115" w:type="dxa"/>
        </w:tblCellMar>
      </w:tblPr>
      <w:tblGrid>
        <w:gridCol w:w="1697"/>
        <w:gridCol w:w="99"/>
        <w:gridCol w:w="5991"/>
        <w:gridCol w:w="1387"/>
        <w:gridCol w:w="36"/>
      </w:tblGrid>
      <w:tr>
        <w:trPr>
          <w:trHeight w:val="618" w:hRule="atLeast"/>
        </w:trPr>
        <w:tc>
          <w:tcPr>
            <w:tcW w:w="9174" w:type="dxa"/>
            <w:gridSpan w:val="4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Normal"/>
              <w:spacing w:lineRule="auto" w:line="252" w:before="0" w:after="0"/>
              <w:ind w:hanging="0" w:start="60" w:end="0"/>
              <w:jc w:val="center"/>
              <w:rPr>
                <w:b/>
                <w:i/>
                <w:i/>
                <w:color w:val="FFFFFF"/>
                <w:sz w:val="44"/>
              </w:rPr>
            </w:pPr>
            <w:r>
              <w:rPr>
                <w:b/>
                <w:i/>
                <w:color w:val="FFFFFF"/>
                <w:sz w:val="44"/>
              </w:rPr>
              <w:t>BUDYNEK - B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801" w:hRule="atLeast"/>
        </w:trPr>
        <w:tc>
          <w:tcPr>
            <w:tcW w:w="9174" w:type="dxa"/>
            <w:gridSpan w:val="4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Normal"/>
              <w:spacing w:lineRule="auto" w:line="252" w:before="0" w:after="0"/>
              <w:ind w:hanging="0" w:start="1159" w:end="1102"/>
              <w:jc w:val="center"/>
              <w:rPr>
                <w:b/>
                <w:i/>
                <w:i/>
                <w:color w:val="FFFFFF"/>
                <w:sz w:val="30"/>
              </w:rPr>
            </w:pPr>
            <w:r>
              <w:rPr>
                <w:b/>
                <w:i/>
                <w:color w:val="FFFFFF"/>
                <w:sz w:val="30"/>
              </w:rPr>
              <w:t>CZĘŚĆ – II:  PROJEKT TECHNICZNY</w:t>
            </w:r>
          </w:p>
          <w:p>
            <w:pPr>
              <w:pStyle w:val="Normal"/>
              <w:spacing w:lineRule="auto" w:line="252" w:before="0" w:after="0"/>
              <w:ind w:hanging="0" w:start="1159" w:end="1102"/>
              <w:jc w:val="center"/>
              <w:rPr>
                <w:b/>
                <w:i/>
                <w:i/>
                <w:color w:val="FFFFFF"/>
                <w:sz w:val="30"/>
              </w:rPr>
            </w:pPr>
            <w:r>
              <w:rPr>
                <w:b/>
                <w:i/>
                <w:color w:val="FFFFFF"/>
                <w:sz w:val="30"/>
              </w:rPr>
              <w:t>BRANŻY ELEKTRYCZNEJ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2045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NAZWA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INWESTYCJI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1" w:end="0"/>
              <w:jc w:val="center"/>
              <w:rPr/>
            </w:pPr>
            <w:r>
              <w:rPr/>
              <w:t>Remont pomieszczeń dydaktycznych w budynku „B” i „C”</w:t>
            </w:r>
          </w:p>
          <w:p>
            <w:pPr>
              <w:pStyle w:val="Normal"/>
              <w:spacing w:lineRule="auto" w:line="252" w:before="0" w:after="0"/>
              <w:ind w:hanging="0" w:start="3" w:end="0"/>
              <w:jc w:val="center"/>
              <w:rPr/>
            </w:pPr>
            <w:r>
              <w:rPr/>
              <w:t>Zespołu Szkół Ponadpodstawowych Nr 2</w:t>
            </w:r>
          </w:p>
          <w:p>
            <w:pPr>
              <w:pStyle w:val="Normal"/>
              <w:spacing w:lineRule="auto" w:line="240" w:before="0" w:after="0"/>
              <w:ind w:hanging="0" w:start="127" w:end="126"/>
              <w:jc w:val="center"/>
              <w:rPr/>
            </w:pPr>
            <w:r>
              <w:rPr/>
              <w:t>Centrum Kształcenia Zawodowego im. T. Kościuszki w Łowiczu, w ramach projektu pod nazwą:</w:t>
            </w:r>
          </w:p>
          <w:p>
            <w:pPr>
              <w:pStyle w:val="Normal"/>
              <w:spacing w:lineRule="auto" w:line="240" w:before="0" w:after="0"/>
              <w:ind w:hanging="0" w:start="0" w:end="0"/>
              <w:jc w:val="center"/>
              <w:rPr/>
            </w:pPr>
            <w:r>
              <w:rPr/>
              <w:t>„</w:t>
            </w:r>
            <w:r>
              <w:rPr/>
              <w:t>Modernizacja pracowni warsztatowych do potrzeb zdobycia kwalifikacji branżowych na nowoczesnym rynku pracy</w:t>
            </w:r>
          </w:p>
          <w:p>
            <w:pPr>
              <w:pStyle w:val="Normal"/>
              <w:spacing w:lineRule="auto" w:line="252" w:before="0" w:after="0"/>
              <w:ind w:hanging="0" w:start="5" w:end="0"/>
              <w:jc w:val="center"/>
              <w:rPr/>
            </w:pPr>
            <w:r>
              <w:rPr/>
              <w:t>mechanizacji rolnictwa”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746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ADRES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INWESTYCJI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1420" w:end="1419"/>
              <w:jc w:val="center"/>
              <w:rPr/>
            </w:pPr>
            <w:r>
              <w:rPr/>
              <w:t>ul. Blich 10, 99-400 Łowicz, dz. nr ewid. 1376/6, obręb: 0004 Korabka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572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KATEGORIA BUDYNKU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Normal"/>
              <w:spacing w:lineRule="auto" w:line="252" w:before="0" w:after="0"/>
              <w:ind w:hanging="0" w:start="61" w:end="0"/>
              <w:jc w:val="center"/>
              <w:rPr/>
            </w:pPr>
            <w:r>
              <w:rPr/>
              <w:t>IX – budynki szkolne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IDENTYFIKATOR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61" w:end="0"/>
              <w:jc w:val="center"/>
              <w:rPr/>
            </w:pPr>
            <w:r>
              <w:rPr/>
              <w:t>100501_1.0004.1376/6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1796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0"/>
              </w:rPr>
            </w:pPr>
            <w:r>
              <w:rPr>
                <w:sz w:val="20"/>
              </w:rPr>
              <w:t>ZAMAWIAJĄCY</w:t>
            </w:r>
          </w:p>
        </w:tc>
        <w:tc>
          <w:tcPr>
            <w:tcW w:w="7378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57" w:end="0"/>
              <w:jc w:val="center"/>
              <w:rPr/>
            </w:pPr>
            <w:r>
              <w:rPr/>
              <w:t>Powiat Łowicki,  ul. Stanisławskiego 30,  99-400 Łowicz</w:t>
            </w:r>
          </w:p>
        </w:tc>
        <w:tc>
          <w:tcPr>
            <w:tcW w:w="36" w:type="dxa"/>
            <w:tcBorders/>
            <w:tcMar>
              <w:top w:w="0" w:type="dxa"/>
              <w:start w:w="0" w:type="dxa"/>
              <w:end w:w="0" w:type="dxa"/>
            </w:tcMar>
          </w:tcPr>
          <w:p>
            <w:pPr>
              <w:pStyle w:val="Normal"/>
              <w:snapToGrid w:val="false"/>
              <w:spacing w:before="0" w:after="5"/>
              <w:rPr/>
            </w:pPr>
            <w:r>
              <w:rPr/>
            </w:r>
          </w:p>
        </w:tc>
      </w:tr>
      <w:tr>
        <w:trPr>
          <w:trHeight w:val="388" w:hRule="atLeast"/>
        </w:trPr>
        <w:tc>
          <w:tcPr>
            <w:tcW w:w="9210" w:type="dxa"/>
            <w:gridSpan w:val="5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</w:rPr>
            </w:pPr>
            <w:r>
              <w:rPr>
                <w:b/>
                <w:i/>
                <w:color w:val="FFFFFF"/>
              </w:rPr>
              <w:t>OPRACOWANIE</w:t>
            </w:r>
          </w:p>
        </w:tc>
      </w:tr>
      <w:tr>
        <w:trPr>
          <w:trHeight w:val="363" w:hRule="atLeast"/>
        </w:trPr>
        <w:tc>
          <w:tcPr>
            <w:tcW w:w="1697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BRANŻA</w:t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PROJEKTANT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  <w:sz w:val="22"/>
              </w:rPr>
            </w:pPr>
            <w:r>
              <w:rPr>
                <w:b/>
                <w:i/>
                <w:color w:val="FFFFFF"/>
                <w:sz w:val="22"/>
              </w:rPr>
              <w:t>PODPIS</w:t>
            </w:r>
          </w:p>
        </w:tc>
      </w:tr>
      <w:tr>
        <w:trPr>
          <w:trHeight w:val="873" w:hRule="atLeast"/>
        </w:trPr>
        <w:tc>
          <w:tcPr>
            <w:tcW w:w="1697" w:type="dxa"/>
            <w:vMerge w:val="restart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INSTALACJE ELEKTRYCZNE</w:t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Projektant: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SEBASTIAN MICHTA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jc w:val="both"/>
              <w:rPr>
                <w:sz w:val="22"/>
              </w:rPr>
            </w:pPr>
            <w:r>
              <w:rPr>
                <w:sz w:val="22"/>
              </w:rPr>
              <w:t>upr. bud. w spec. inst. elektrycznych  nr SWK/0174/PWOE/11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618" w:hRule="atLeast"/>
        </w:trPr>
        <w:tc>
          <w:tcPr>
            <w:tcW w:w="1697" w:type="dxa"/>
            <w:vMerge w:val="continue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  <w:tc>
          <w:tcPr>
            <w:tcW w:w="609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Współpraca - opracowanie: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EWA PIOTROWICZ</w:t>
            </w:r>
          </w:p>
        </w:tc>
        <w:tc>
          <w:tcPr>
            <w:tcW w:w="1423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tcMar>
              <w:start w:w="57" w:type="dxa"/>
              <w:end w:w="41" w:type="dxa"/>
            </w:tcMar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387" w:hRule="atLeast"/>
        </w:trPr>
        <w:tc>
          <w:tcPr>
            <w:tcW w:w="9210" w:type="dxa"/>
            <w:gridSpan w:val="5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tcMar>
              <w:start w:w="57" w:type="dxa"/>
              <w:end w:w="41" w:type="dxa"/>
            </w:tcMar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b/>
                <w:i/>
                <w:i/>
                <w:color w:val="FFFFFF"/>
              </w:rPr>
            </w:pPr>
            <w:r>
              <w:rPr>
                <w:b/>
                <w:i/>
                <w:color w:val="FFFFFF"/>
              </w:rPr>
              <w:t>DATA OPRACOWANIA: PAŹDZIERNIK – 2025r.</w:t>
            </w:r>
          </w:p>
        </w:tc>
      </w:tr>
    </w:tbl>
    <w:p>
      <w:pPr>
        <w:pStyle w:val="Normal"/>
        <w:spacing w:lineRule="auto" w:line="252" w:before="0" w:after="0"/>
        <w:ind w:hanging="0" w:start="0" w:end="0"/>
        <w:rPr>
          <w:b/>
          <w:i/>
          <w:i/>
          <w:u w:val="single" w:color="000000"/>
        </w:rPr>
      </w:pPr>
      <w:r>
        <w:rPr>
          <w:b/>
          <w:i/>
          <w:u w:val="single" w:color="000000"/>
        </w:rPr>
        <w:t xml:space="preserve">EGZ. NR       </w:t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1"/>
        </w:numPr>
        <w:ind w:hanging="0" w:start="0" w:end="0"/>
        <w:rPr/>
      </w:pPr>
      <w:r>
        <w:rPr/>
      </w:r>
    </w:p>
    <w:p>
      <w:pPr>
        <w:pStyle w:val="Heading1"/>
        <w:numPr>
          <w:ilvl w:val="0"/>
          <w:numId w:val="0"/>
        </w:numPr>
        <w:ind w:hanging="0" w:start="0" w:end="0"/>
        <w:rPr>
          <w:sz w:val="20"/>
          <w:u w:val="single" w:color="000000"/>
        </w:rPr>
      </w:pPr>
      <w:r>
        <w:rPr/>
        <w:t xml:space="preserve">SPIS ZAWARTOŚCI </w:t>
      </w:r>
    </w:p>
    <w:p>
      <w:pPr>
        <w:pStyle w:val="Normal"/>
        <w:spacing w:lineRule="auto" w:line="252" w:before="0" w:after="102"/>
        <w:ind w:hanging="10" w:start="-5" w:end="0"/>
        <w:rPr>
          <w:sz w:val="20"/>
          <w:u w:val="single" w:color="000000"/>
        </w:rPr>
      </w:pPr>
      <w:r>
        <w:rPr>
          <w:sz w:val="20"/>
          <w:u w:val="single" w:color="000000"/>
        </w:rPr>
      </w:r>
    </w:p>
    <w:p>
      <w:pPr>
        <w:pStyle w:val="Normal"/>
        <w:spacing w:lineRule="auto" w:line="252" w:before="0" w:after="102"/>
        <w:ind w:hanging="10" w:start="-5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 w:color="000000"/>
        </w:rPr>
        <w:t>ZAŁĄCZONE DOKUMENTY</w:t>
      </w:r>
    </w:p>
    <w:p>
      <w:pPr>
        <w:pStyle w:val="Normal"/>
        <w:numPr>
          <w:ilvl w:val="0"/>
          <w:numId w:val="0"/>
        </w:numPr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DOK. PROJEKTANTA DOTYCZĄCE UPRAWNIEŃ I PRZYNALEŻNOŚCI DO IZBY;  str. 3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cs="Arial"/>
          <w:b w:val="false"/>
          <w:bCs w:val="false"/>
          <w:sz w:val="22"/>
          <w:szCs w:val="22"/>
        </w:rPr>
        <w:t>OŚWIADCZENIE PROJEKTANTA;   str. 6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372" w:before="0" w:after="0"/>
        <w:ind w:hanging="0" w:start="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/>
        </w:rPr>
        <w:t>CZĘŚĆ OPISOWA – OPIS TECHNICZNY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1. PRZEDMIOT OPRACOWANIA;   str. 7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2. PODSTAWA OPRACOWANIA;   str. 7</w:t>
      </w:r>
    </w:p>
    <w:p>
      <w:pPr>
        <w:pStyle w:val="Normal"/>
        <w:numPr>
          <w:ilvl w:val="0"/>
          <w:numId w:val="0"/>
        </w:numPr>
        <w:spacing w:lineRule="auto" w:line="372" w:before="0" w:after="0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 OPIS STANU PROJEKTOWANEGO;   str. 7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3"/>
        <w:ind w:hanging="0" w:start="1134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3.1. ZAKRES OPRACOWANIA; str. 7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3.2. ZASILANIE, WLZ;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3.3. INSTALACJA GNIAZD WTYCZKOWYCH;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3.4. INSTALACJA  OŚWIETLENIOWA;   str. 8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3.5. OCHRONA PRZEPIĘCIOWA;   str 9</w:t>
      </w:r>
    </w:p>
    <w:p>
      <w:pPr>
        <w:pStyle w:val="Normal"/>
        <w:numPr>
          <w:ilvl w:val="0"/>
          <w:numId w:val="0"/>
        </w:numPr>
        <w:spacing w:lineRule="auto" w:line="252" w:before="0" w:after="3"/>
        <w:ind w:hanging="0" w:start="1150" w:end="0"/>
        <w:rPr>
          <w:rFonts w:ascii="Arial" w:hAnsi="Arial" w:eastAsia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3.6. OCHRONA PRZECIWPORAŻENIOWA;   str 9</w:t>
      </w:r>
    </w:p>
    <w:p>
      <w:pPr>
        <w:pStyle w:val="Normal"/>
        <w:widowControl/>
        <w:tabs>
          <w:tab w:val="clear" w:pos="708"/>
          <w:tab w:val="left" w:pos="1188" w:leader="none"/>
        </w:tabs>
        <w:suppressAutoHyphens w:val="true"/>
        <w:bidi w:val="0"/>
        <w:spacing w:lineRule="auto" w:line="252" w:before="0" w:after="3"/>
        <w:ind w:hanging="0" w:start="1134" w:end="0"/>
        <w:rPr>
          <w:rFonts w:ascii="Arial" w:hAnsi="Arial" w:eastAsia="Arial" w:cs="Arial"/>
          <w:b w:val="false"/>
          <w:bCs w:val="false"/>
          <w:sz w:val="22"/>
          <w:szCs w:val="22"/>
        </w:rPr>
      </w:pPr>
      <w:r>
        <w:rPr>
          <w:rFonts w:eastAsia="Arial" w:cs="Arial"/>
          <w:b w:val="false"/>
          <w:bCs w:val="false"/>
          <w:sz w:val="22"/>
          <w:szCs w:val="22"/>
        </w:rPr>
        <w:t xml:space="preserve"> </w:t>
      </w:r>
      <w:r>
        <w:rPr>
          <w:rFonts w:cs="Arial"/>
          <w:b w:val="false"/>
          <w:bCs w:val="false"/>
          <w:sz w:val="22"/>
          <w:szCs w:val="22"/>
        </w:rPr>
        <w:t>3.7. POŁĄCZENIA WYRÓWNAWCZE;   str. 10</w:t>
      </w:r>
    </w:p>
    <w:p>
      <w:pPr>
        <w:pStyle w:val="Normal"/>
        <w:widowControl/>
        <w:suppressAutoHyphens w:val="true"/>
        <w:bidi w:val="0"/>
        <w:spacing w:lineRule="auto" w:line="252" w:before="0" w:after="3"/>
        <w:ind w:hanging="0" w:start="1077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eastAsia="Arial" w:cs="Arial"/>
          <w:b w:val="false"/>
          <w:bCs w:val="false"/>
          <w:sz w:val="22"/>
          <w:szCs w:val="22"/>
        </w:rPr>
        <w:t xml:space="preserve"> </w:t>
      </w:r>
      <w:r>
        <w:rPr>
          <w:rFonts w:cs="Arial"/>
          <w:b w:val="false"/>
          <w:bCs w:val="false"/>
          <w:sz w:val="22"/>
          <w:szCs w:val="22"/>
        </w:rPr>
        <w:t>3.8. PROWADZENIE KABLI I PRZEWODÓW;   str. 10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3"/>
        <w:ind w:hanging="0" w:start="1134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3.9. INSTALACJA STRUKTURALNA I NAGŁOŚNIENIA;   str. 10</w:t>
      </w:r>
    </w:p>
    <w:p>
      <w:pPr>
        <w:pStyle w:val="Normal"/>
        <w:widowControl/>
        <w:numPr>
          <w:ilvl w:val="0"/>
          <w:numId w:val="0"/>
        </w:numPr>
        <w:suppressAutoHyphens w:val="true"/>
        <w:bidi w:val="0"/>
        <w:spacing w:lineRule="auto" w:line="252" w:before="0" w:after="111"/>
        <w:ind w:hanging="0" w:start="1191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3.10. POMIARY POWYKONAWCZE I KONTROLA INSTALACJI;   str. 10</w:t>
      </w:r>
    </w:p>
    <w:p>
      <w:pPr>
        <w:pStyle w:val="Normal"/>
        <w:numPr>
          <w:ilvl w:val="0"/>
          <w:numId w:val="0"/>
        </w:numPr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4. UWAGI KOŃCOWE;   str. 11</w:t>
      </w:r>
    </w:p>
    <w:p>
      <w:pPr>
        <w:pStyle w:val="Normal"/>
        <w:spacing w:lineRule="auto" w:line="252" w:before="0" w:after="112"/>
        <w:ind w:hanging="0" w:start="44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</w:r>
    </w:p>
    <w:p>
      <w:pPr>
        <w:pStyle w:val="Normal"/>
        <w:spacing w:lineRule="auto" w:line="252" w:before="0" w:after="0"/>
        <w:ind w:hanging="0" w:start="-5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/>
          <w:bCs/>
          <w:sz w:val="22"/>
          <w:szCs w:val="22"/>
          <w:u w:val="single" w:color="000000"/>
        </w:rPr>
        <w:t>CZĘŚĆ RYSUNKOWA</w:t>
      </w:r>
    </w:p>
    <w:p>
      <w:pPr>
        <w:pStyle w:val="Normal"/>
        <w:spacing w:lineRule="auto" w:line="252" w:before="0" w:after="3"/>
        <w:ind w:hanging="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E1 – ZASILANIE PODSTAWOWE - OŚWIETLENIE/GNIAZDA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2"/>
          <w:szCs w:val="22"/>
        </w:rPr>
      </w:pPr>
      <w:r>
        <w:rPr>
          <w:rFonts w:cs="Arial"/>
          <w:b w:val="false"/>
          <w:bCs w:val="false"/>
          <w:sz w:val="22"/>
          <w:szCs w:val="22"/>
        </w:rPr>
        <w:t>E2 – INSTALACJA  XLR,  ZASILANIE GŁOŚNIKÓW,  ZASILANIE EKRANÓW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/>
          <w:b w:val="false"/>
          <w:bCs w:val="false"/>
          <w:sz w:val="22"/>
          <w:szCs w:val="22"/>
        </w:rPr>
        <w:t>E3 – SCHEMAT TR</w:t>
      </w:r>
    </w:p>
    <w:p>
      <w:pPr>
        <w:pStyle w:val="Normal"/>
        <w:numPr>
          <w:ilvl w:val="0"/>
          <w:numId w:val="3"/>
        </w:numPr>
        <w:spacing w:lineRule="auto" w:line="252" w:before="0" w:after="3"/>
        <w:ind w:hanging="200" w:start="200" w:end="0"/>
        <w:rPr>
          <w:sz w:val="18"/>
        </w:rPr>
      </w:pPr>
      <w:r>
        <w:rPr>
          <w:rFonts w:cs="Arial"/>
          <w:b w:val="false"/>
          <w:bCs w:val="false"/>
          <w:sz w:val="24"/>
          <w:szCs w:val="24"/>
        </w:rPr>
        <w:t>E4 – SCHEMAT INSTALACJI NAGŁOŚNIENIA</w:t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3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sz w:val="18"/>
        </w:rPr>
      </w:pPr>
      <w:r>
        <w:rPr>
          <w:sz w:val="18"/>
        </w:rPr>
      </w:r>
    </w:p>
    <w:p>
      <w:pPr>
        <w:pStyle w:val="Normal"/>
        <w:spacing w:lineRule="auto" w:line="252" w:before="0" w:after="1"/>
        <w:ind w:hanging="0" w:start="-5" w:end="0"/>
        <w:rPr>
          <w:u w:val="single" w:color="000000"/>
        </w:rPr>
      </w:pPr>
      <w:r>
        <w:rPr>
          <w:u w:val="single" w:color="000000"/>
        </w:rPr>
        <w:t>Obraz 1.1. Kopia dokumentu - uprawnienia projektanta.</w:t>
      </w:r>
    </w:p>
    <w:p>
      <w:pPr>
        <w:pStyle w:val="Normal"/>
        <w:spacing w:lineRule="auto" w:line="252" w:before="0" w:after="0"/>
        <w:ind w:hanging="0" w:start="8" w:end="0"/>
        <w:rPr>
          <w:u w:val="single" w:color="000000"/>
        </w:rPr>
      </w:pPr>
      <w:r>
        <w:rPr/>
        <w:drawing>
          <wp:inline distT="0" distB="0" distL="0" distR="0">
            <wp:extent cx="5817235" cy="8235950"/>
            <wp:effectExtent l="0" t="0" r="0" b="0"/>
            <wp:docPr id="1" name="Obraz1" descr="" title="Kopia uprawnień budowlanych projektanta Sebastiana J. Michta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Sebastiana J. Michta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18" t="-12" r="-18"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  <w:t>Obraz 1.2. Kopia dokumentu - uprawnienia projektanta.</w:t>
      </w:r>
    </w:p>
    <w:p>
      <w:pPr>
        <w:pStyle w:val="Normal"/>
        <w:spacing w:lineRule="auto" w:line="252" w:before="0" w:after="0"/>
        <w:ind w:hanging="0" w:start="8" w:end="0"/>
        <w:rPr>
          <w:u w:val="single" w:color="000000"/>
        </w:rPr>
      </w:pPr>
      <w:r>
        <w:rPr/>
        <w:drawing>
          <wp:inline distT="0" distB="0" distL="0" distR="0">
            <wp:extent cx="5817235" cy="8235950"/>
            <wp:effectExtent l="0" t="0" r="0" b="0"/>
            <wp:docPr id="2" name="Obraz2" descr="" title="Kopia uprawnień budowlanych projektanta Sebastiana J. Michta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Sebastiana J. Michta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8" t="-12" r="-18"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35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</w:r>
    </w:p>
    <w:p>
      <w:pPr>
        <w:pStyle w:val="Normal"/>
        <w:spacing w:lineRule="auto" w:line="252" w:before="0" w:after="1"/>
        <w:ind w:hanging="10" w:start="-5" w:end="0"/>
        <w:rPr>
          <w:u w:val="single" w:color="000000"/>
        </w:rPr>
      </w:pPr>
      <w:r>
        <w:rPr>
          <w:u w:val="single" w:color="000000"/>
        </w:rPr>
        <w:t>Obraz 2. Kopia dokumentu – przynależność do izby zawodowej projektanta.</w:t>
      </w:r>
    </w:p>
    <w:p>
      <w:pPr>
        <w:pStyle w:val="Normal"/>
        <w:spacing w:lineRule="auto" w:line="252" w:before="0" w:after="0"/>
        <w:ind w:hanging="0" w:start="6" w:end="0"/>
        <w:rPr>
          <w:lang w:val="pl-PL" w:eastAsia="pl-PL"/>
        </w:rPr>
      </w:pPr>
      <w:r>
        <w:rPr/>
        <w:drawing>
          <wp:inline distT="0" distB="0" distL="0" distR="0">
            <wp:extent cx="5817870" cy="8250555"/>
            <wp:effectExtent l="0" t="0" r="0" b="0"/>
            <wp:docPr id="3" name="Obraz3" descr="" title="Kopia zaświadczenia z izby projektanta Sebastiana J. Mich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Sebastiana J. Micht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8" t="-12" r="-18" b="-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70" cy="825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346"/>
        <w:ind w:hanging="10" w:start="-5" w:end="0"/>
        <w:rPr/>
      </w:pPr>
      <w:r>
        <w:rPr/>
        <w:t>OŚWIADCZENIE PROJEKTANTA</w:t>
      </w:r>
    </w:p>
    <w:p>
      <w:pPr>
        <w:pStyle w:val="Normal"/>
        <w:spacing w:before="0" w:after="29"/>
        <w:rPr/>
      </w:pPr>
      <w:r>
        <w:rPr/>
        <w:t xml:space="preserve">Na podstawie art. 34 ust. 3d pkt 3 oraz art. 34 ust. 3e Ustawy z dnia 7 lipca </w:t>
      </w:r>
    </w:p>
    <w:p>
      <w:pPr>
        <w:pStyle w:val="Normal"/>
        <w:spacing w:before="0" w:after="29"/>
        <w:ind w:hanging="10" w:start="-5" w:end="0"/>
        <w:rPr/>
      </w:pPr>
      <w:r>
        <w:rPr/>
        <w:t xml:space="preserve">1994 r. Prawo budowlane (Dz. U. z 2020 r. poz. 1333, 2127, 2320, z 2021 r. poz. 11, </w:t>
      </w:r>
    </w:p>
    <w:p>
      <w:pPr>
        <w:pStyle w:val="Normal"/>
        <w:widowControl/>
        <w:bidi w:val="0"/>
        <w:spacing w:lineRule="auto" w:line="240" w:before="0" w:after="343"/>
        <w:ind w:hanging="0" w:start="0" w:end="113"/>
        <w:rPr>
          <w:b/>
        </w:rPr>
      </w:pPr>
      <w:r>
        <w:rPr/>
        <w:t xml:space="preserve">234, 282, 784) oświadczam, że niniejszy </w:t>
      </w:r>
      <w:r>
        <w:rPr>
          <w:b/>
        </w:rPr>
        <w:t>projekt techniczny branży elektrycznej</w:t>
      </w:r>
      <w:r>
        <w:rPr/>
        <w:t>, wykonany na rzecz zamierzenia budowlanego:</w:t>
      </w:r>
    </w:p>
    <w:p>
      <w:pPr>
        <w:pStyle w:val="Normal"/>
        <w:ind w:hanging="10" w:start="860" w:end="911"/>
        <w:jc w:val="center"/>
        <w:rPr>
          <w:b/>
        </w:rPr>
      </w:pPr>
      <w:r>
        <w:rPr>
          <w:b/>
        </w:rPr>
        <w:t>Remont pomieszczeń dydaktycznych w budynku „B”</w:t>
      </w:r>
    </w:p>
    <w:p>
      <w:pPr>
        <w:pStyle w:val="Normal"/>
        <w:ind w:hanging="10" w:start="860" w:end="911"/>
        <w:jc w:val="center"/>
        <w:rPr>
          <w:b/>
        </w:rPr>
      </w:pPr>
      <w:r>
        <w:rPr>
          <w:b/>
        </w:rPr>
        <w:t>Zespołu Szkół Ponadpodstawowych Nr 2</w:t>
      </w:r>
    </w:p>
    <w:p>
      <w:pPr>
        <w:pStyle w:val="Normal"/>
        <w:ind w:hanging="10" w:start="860" w:end="914"/>
        <w:jc w:val="center"/>
        <w:rPr>
          <w:i w:val="false"/>
          <w:i w:val="false"/>
          <w:iCs w:val="false"/>
        </w:rPr>
      </w:pPr>
      <w:r>
        <w:rPr>
          <w:b/>
        </w:rPr>
        <w:t xml:space="preserve">Centrum Kształcenia Zawodowego im. T. Kościuszki w Łowiczu w ramach projektu pod nazwą: </w:t>
      </w:r>
    </w:p>
    <w:p>
      <w:pPr>
        <w:pStyle w:val="Normal"/>
        <w:spacing w:lineRule="auto" w:line="240" w:before="0" w:after="0"/>
        <w:ind w:hanging="552" w:start="647" w:end="155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„</w:t>
      </w:r>
      <w:r>
        <w:rPr>
          <w:i w:val="false"/>
          <w:iCs w:val="false"/>
        </w:rPr>
        <w:t>Modernizacja pracowni warsztatowych do potrzeb zdobycia kwalifikacji branżowych na nowoczesnym rynku pracy mechanizacji rolnictwa”.</w:t>
      </w:r>
    </w:p>
    <w:p>
      <w:pPr>
        <w:pStyle w:val="Normal"/>
        <w:spacing w:lineRule="auto" w:line="240" w:before="0" w:after="0"/>
        <w:ind w:hanging="552" w:start="647" w:end="155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Lokalizacja: ul. Blich 10,  99-400 Łowicz,</w:t>
      </w:r>
    </w:p>
    <w:p>
      <w:pPr>
        <w:pStyle w:val="Normal"/>
        <w:spacing w:lineRule="auto" w:line="252" w:before="0" w:after="530"/>
        <w:ind w:hanging="0" w:start="0" w:end="60"/>
        <w:jc w:val="center"/>
        <w:rPr>
          <w:i w:val="false"/>
          <w:i w:val="false"/>
          <w:iCs w:val="false"/>
        </w:rPr>
      </w:pPr>
      <w:r>
        <w:rPr>
          <w:i w:val="false"/>
          <w:iCs w:val="false"/>
        </w:rPr>
        <w:t>dz. nr ewid. 1376/6, obręb: 0004 Korabka</w:t>
      </w:r>
    </w:p>
    <w:p>
      <w:pPr>
        <w:pStyle w:val="Normal"/>
        <w:spacing w:before="0" w:after="26"/>
        <w:ind w:firstLine="708" w:start="-15" w:end="0"/>
        <w:rPr/>
      </w:pPr>
      <w:r>
        <w:rPr/>
        <w:t>- został sporządzony zgodnie z obowiązującymi przepisami i zasadami wiedzy technicznej.</w:t>
      </w:r>
    </w:p>
    <w:p>
      <w:pPr>
        <w:pStyle w:val="Normal"/>
        <w:spacing w:before="0" w:after="71"/>
        <w:ind w:hanging="10" w:start="-5" w:end="0"/>
        <w:rPr>
          <w:sz w:val="22"/>
        </w:rPr>
      </w:pPr>
      <w:r>
        <w:rPr/>
        <w:t>Osoby, o których mowa w art. 20 ust. 1 pkt 1a ustawy Prawo budowlane, biorące udział w opracowaniu projektu:</w:t>
      </w:r>
    </w:p>
    <w:tbl>
      <w:tblPr>
        <w:tblW w:w="9056" w:type="dxa"/>
        <w:jc w:val="start"/>
        <w:tblInd w:w="-3" w:type="dxa"/>
        <w:tblLayout w:type="fixed"/>
        <w:tblCellMar>
          <w:top w:w="62" w:type="dxa"/>
          <w:start w:w="57" w:type="dxa"/>
          <w:bottom w:w="0" w:type="dxa"/>
          <w:end w:w="115" w:type="dxa"/>
        </w:tblCellMar>
      </w:tblPr>
      <w:tblGrid>
        <w:gridCol w:w="6401"/>
        <w:gridCol w:w="2654"/>
      </w:tblGrid>
      <w:tr>
        <w:trPr>
          <w:trHeight w:val="366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Podpis:</w:t>
            </w:r>
          </w:p>
        </w:tc>
      </w:tr>
      <w:tr>
        <w:trPr>
          <w:trHeight w:val="870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Projektant: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SEBASTIAN MICHTA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upr. bud. w spec. inst. elektrycznych nr SWK/0174/PWOE/11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618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  <w:u w:val="single" w:color="000000"/>
              </w:rPr>
              <w:t>Współpraca - opracowanie:</w:t>
            </w:r>
          </w:p>
          <w:p>
            <w:pPr>
              <w:pStyle w:val="Normal"/>
              <w:spacing w:lineRule="auto" w:line="252" w:before="0" w:after="0"/>
              <w:ind w:hanging="0" w:start="0" w:end="0"/>
              <w:rPr>
                <w:sz w:val="22"/>
              </w:rPr>
            </w:pPr>
            <w:r>
              <w:rPr>
                <w:sz w:val="22"/>
              </w:rPr>
              <w:t>MGR INŻ. EWA PIOTROWICZ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  <w:tr>
        <w:trPr>
          <w:trHeight w:val="366" w:hRule="atLeast"/>
        </w:trPr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pacing w:lineRule="auto" w:line="252" w:before="0" w:after="0"/>
              <w:ind w:hanging="0" w:start="3471" w:end="0"/>
              <w:rPr>
                <w:sz w:val="22"/>
              </w:rPr>
            </w:pPr>
            <w:r>
              <w:rPr>
                <w:sz w:val="22"/>
              </w:rPr>
              <w:t>PAŹDZIERNIK 2025</w:t>
            </w:r>
          </w:p>
        </w:tc>
        <w:tc>
          <w:tcPr>
            <w:tcW w:w="2654" w:type="dxa"/>
            <w:tcBorders>
              <w:top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Normal"/>
              <w:snapToGrid w:val="false"/>
              <w:spacing w:lineRule="auto" w:line="252" w:before="0" w:after="160"/>
              <w:ind w:hanging="0" w:start="0" w:end="0"/>
              <w:rPr/>
            </w:pPr>
            <w:r>
              <w:rPr/>
            </w:r>
          </w:p>
        </w:tc>
      </w:tr>
    </w:tbl>
    <w:p>
      <w:pPr>
        <w:pStyle w:val="Heading2"/>
        <w:numPr>
          <w:ilvl w:val="0"/>
          <w:numId w:val="0"/>
        </w:numPr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Normal"/>
        <w:spacing w:before="0" w:after="264"/>
        <w:ind w:hanging="0" w:start="-5" w:end="0"/>
        <w:rPr/>
      </w:pPr>
      <w:r>
        <w:rPr/>
      </w:r>
    </w:p>
    <w:p>
      <w:pPr>
        <w:pStyle w:val="Heading2"/>
        <w:numPr>
          <w:ilvl w:val="0"/>
          <w:numId w:val="0"/>
        </w:numPr>
        <w:spacing w:before="0" w:after="264"/>
        <w:ind w:hanging="0" w:start="-5" w:end="0"/>
        <w:rPr/>
      </w:pPr>
      <w:r>
        <w:rPr/>
      </w:r>
    </w:p>
    <w:p>
      <w:pPr>
        <w:pStyle w:val="Heading2"/>
        <w:numPr>
          <w:ilvl w:val="1"/>
          <w:numId w:val="1"/>
        </w:numPr>
        <w:spacing w:before="0" w:after="264"/>
        <w:ind w:hanging="0" w:start="-5" w:end="0"/>
        <w:rPr/>
      </w:pPr>
      <w:r>
        <w:rPr/>
        <w:t>CZĘŚĆ OPISOWA – OPIS TECHNICZNY</w:t>
      </w:r>
    </w:p>
    <w:p>
      <w:pPr>
        <w:pStyle w:val="Heading3"/>
        <w:numPr>
          <w:ilvl w:val="2"/>
          <w:numId w:val="1"/>
        </w:numPr>
        <w:spacing w:before="0" w:after="294"/>
        <w:ind w:hanging="10" w:start="370" w:end="0"/>
        <w:rPr/>
      </w:pPr>
      <w:r>
        <w:rPr/>
        <w:t>1. PRZEDMIOT OPRACOWANIA</w:t>
      </w:r>
    </w:p>
    <w:p>
      <w:pPr>
        <w:pStyle w:val="Normal"/>
        <w:numPr>
          <w:ilvl w:val="0"/>
          <w:numId w:val="6"/>
        </w:numPr>
        <w:spacing w:before="0" w:after="30"/>
        <w:ind w:hanging="360" w:start="720" w:end="0"/>
        <w:rPr/>
      </w:pPr>
      <w:r>
        <w:rPr/>
        <w:t xml:space="preserve">Przedmiotem opracowania jest projekt techniczny branży elektrycznej, dotyczący wykonania nowych instalacji w Sali Gimnastycznej </w:t>
      </w:r>
    </w:p>
    <w:p>
      <w:pPr>
        <w:pStyle w:val="Normal"/>
        <w:numPr>
          <w:ilvl w:val="0"/>
          <w:numId w:val="6"/>
        </w:numPr>
        <w:spacing w:before="0" w:after="30"/>
        <w:ind w:hanging="360" w:start="720" w:end="0"/>
        <w:rPr/>
      </w:pPr>
      <w:r>
        <w:rPr/>
        <w:t>Opracowanie stanowi część całego zadania: Remont pomieszczeń dydaktycznych w budynku „C” i „B” Zespołu Szkół Ponadpodstawowych Nr 2, Centrum Kształcenia Zawodowego im. Tadeusz Kościuszki w Łowiczu w ramach projektu pod nazwą: „Modernizacja pracowni warsztatowych do potrzeb zdobycia kwalifikacji branżowych na nowoczesnym rynku pracy mechanizacji rolnictwa”.</w:t>
      </w:r>
    </w:p>
    <w:p>
      <w:pPr>
        <w:pStyle w:val="Normal"/>
        <w:numPr>
          <w:ilvl w:val="0"/>
          <w:numId w:val="6"/>
        </w:numPr>
        <w:spacing w:before="0" w:after="346"/>
        <w:ind w:hanging="360" w:start="720" w:end="0"/>
        <w:rPr/>
      </w:pPr>
      <w:r>
        <w:rPr/>
        <w:t>Dokumentacja dotycząca budynku „C” – stanowi odrębne opracowanie.</w:t>
      </w:r>
    </w:p>
    <w:p>
      <w:pPr>
        <w:pStyle w:val="Heading3"/>
        <w:numPr>
          <w:ilvl w:val="2"/>
          <w:numId w:val="1"/>
        </w:numPr>
        <w:spacing w:before="0" w:after="137"/>
        <w:ind w:hanging="10" w:start="370" w:end="0"/>
        <w:rPr/>
      </w:pPr>
      <w:r>
        <w:rPr/>
        <w:t>2. PODSTAWA OPRACOWANIA</w:t>
      </w:r>
    </w:p>
    <w:p>
      <w:pPr>
        <w:pStyle w:val="Normal"/>
        <w:numPr>
          <w:ilvl w:val="0"/>
          <w:numId w:val="2"/>
        </w:numPr>
        <w:ind w:hanging="360" w:start="720" w:end="0"/>
        <w:rPr/>
      </w:pPr>
      <w:r>
        <w:rPr/>
        <w:t xml:space="preserve">Umowa z Inwestorem </w:t>
      </w:r>
    </w:p>
    <w:p>
      <w:pPr>
        <w:pStyle w:val="Normal"/>
        <w:numPr>
          <w:ilvl w:val="0"/>
          <w:numId w:val="2"/>
        </w:numPr>
        <w:ind w:hanging="360" w:start="720" w:end="0"/>
        <w:rPr/>
      </w:pPr>
      <w:r>
        <w:rPr/>
        <w:t>Wizje lokalne, szkice, pomiary, dokumentacja fotograficzna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>Projekty pozostałych branż Podstawa prawna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 xml:space="preserve">Ustawa z dnia 7 lipca 1994 Prawo Budowlane z późniejszymi zmianami. tekst jednolity Dz.U. z 2017r. poz.1332 </w:t>
      </w:r>
    </w:p>
    <w:p>
      <w:pPr>
        <w:pStyle w:val="Normal"/>
        <w:numPr>
          <w:ilvl w:val="0"/>
          <w:numId w:val="2"/>
        </w:numPr>
        <w:spacing w:before="0" w:after="29"/>
        <w:ind w:hanging="360" w:start="720" w:end="0"/>
        <w:rPr/>
      </w:pPr>
      <w:r>
        <w:rPr/>
        <w:t>Ustawa z dnia 4 lutego 1994 r. o prawie autorskim i prawach pokrewnych (tekst jednolity: Dz. U. z 2006 r., Nr 90, poz. 631, ze zmianami)</w:t>
      </w:r>
    </w:p>
    <w:p>
      <w:pPr>
        <w:pStyle w:val="Normal"/>
        <w:numPr>
          <w:ilvl w:val="0"/>
          <w:numId w:val="2"/>
        </w:numPr>
        <w:spacing w:before="0" w:after="386"/>
        <w:ind w:hanging="360" w:start="720" w:end="0"/>
        <w:rPr/>
      </w:pPr>
      <w:r>
        <w:rPr/>
        <w:t>Rozporządzenie Ministra Infrastruktury w sprawie warunków technicznych, jakim powinny odpowiadać budynki i ich usytuowanie z dnia 31.12.2020 oraz wykazu norm powołanych w rozporządzeniu w załączniku nr 1 do rozporządzenia.</w:t>
      </w:r>
    </w:p>
    <w:p>
      <w:pPr>
        <w:pStyle w:val="Heading3"/>
        <w:numPr>
          <w:ilvl w:val="2"/>
          <w:numId w:val="1"/>
        </w:numPr>
        <w:spacing w:before="0" w:after="98"/>
        <w:ind w:hanging="10" w:start="368" w:end="0"/>
        <w:rPr>
          <w:b/>
        </w:rPr>
      </w:pPr>
      <w:r>
        <w:rPr/>
        <w:t xml:space="preserve">3. OPIS STANU PROJEKTOWANEGO </w:t>
      </w:r>
    </w:p>
    <w:p>
      <w:pPr>
        <w:pStyle w:val="Normal"/>
        <w:ind w:firstLine="708" w:start="-15" w:end="0"/>
        <w:rPr>
          <w:b/>
        </w:rPr>
      </w:pPr>
      <w:r>
        <w:rPr>
          <w:b/>
        </w:rPr>
      </w:r>
    </w:p>
    <w:p>
      <w:pPr>
        <w:pStyle w:val="Normal"/>
        <w:ind w:firstLine="708" w:start="-15" w:end="0"/>
        <w:rPr>
          <w:b/>
        </w:rPr>
      </w:pPr>
      <w:r>
        <w:rPr>
          <w:b/>
        </w:rPr>
        <w:t>Przed przystąpieniem do projektowanych prac montażowych, należy wykonać demontaż istniejącej instalacji elektrycznej Prace demontażowe obejmować będą: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odłączenie przewodów od zasilania z głównej tablic rozdzielczej  RG, znajdującej się w korytarzu;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istniejącej tablicy rozdzielczej TR – zasilanie sali;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przewodów na sali;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demontaż łączników, gniazd;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 xml:space="preserve">demontaż opraw oświetlenia; </w:t>
      </w:r>
    </w:p>
    <w:p>
      <w:pPr>
        <w:pStyle w:val="Normal"/>
        <w:ind w:hanging="10" w:start="-5" w:end="3067"/>
        <w:rPr/>
      </w:pPr>
      <w:r>
        <w:rPr/>
      </w:r>
    </w:p>
    <w:p>
      <w:pPr>
        <w:pStyle w:val="Heading4"/>
        <w:numPr>
          <w:ilvl w:val="1"/>
          <w:numId w:val="1"/>
        </w:numPr>
        <w:ind w:hanging="10" w:start="10" w:end="0"/>
        <w:rPr/>
      </w:pPr>
      <w:r>
        <w:rPr/>
        <w:t>3.1. Zakres opracowania stanu projektowanego</w:t>
      </w:r>
    </w:p>
    <w:p>
      <w:pPr>
        <w:pStyle w:val="Heading2"/>
        <w:numPr>
          <w:ilvl w:val="1"/>
          <w:numId w:val="1"/>
        </w:numPr>
        <w:ind w:hanging="10" w:start="10" w:end="0"/>
        <w:rPr>
          <w:b w:val="false"/>
          <w:bCs w:val="false"/>
        </w:rPr>
      </w:pPr>
      <w:r>
        <w:rPr>
          <w:b w:val="false"/>
          <w:bCs w:val="false"/>
        </w:rPr>
        <w:t>Zakres opracowania :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 xml:space="preserve">zasilanie podstawowe; 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zasilanie rezerwowe na ewentualne późniejsze zasilania;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gniazd wtyczkowych 230V;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oświetlenia podstawowego i ewakuacyjnego;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instalacja nagłośnienia, inst. strukturalna;</w:t>
      </w:r>
    </w:p>
    <w:p>
      <w:pPr>
        <w:pStyle w:val="Normal"/>
        <w:numPr>
          <w:ilvl w:val="0"/>
          <w:numId w:val="4"/>
        </w:numPr>
        <w:ind w:hanging="279" w:start="279" w:end="0"/>
        <w:rPr/>
      </w:pPr>
      <w:r>
        <w:rPr/>
        <w:t>instalacje: ochrony przeciwprzepięciowej, ochrony przed porażeniem prądem elektrycznym i wyrównania potencjałów.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</w:r>
    </w:p>
    <w:p>
      <w:pPr>
        <w:pStyle w:val="Heading4"/>
        <w:numPr>
          <w:ilvl w:val="3"/>
          <w:numId w:val="1"/>
        </w:numPr>
        <w:ind w:hanging="10" w:start="10" w:end="0"/>
        <w:rPr/>
      </w:pPr>
      <w:r>
        <w:rPr/>
        <w:t>3.2. Zasilanie TR, WLZ</w:t>
      </w:r>
    </w:p>
    <w:p>
      <w:pPr>
        <w:pStyle w:val="Normal"/>
        <w:ind w:firstLine="708" w:start="-15" w:end="0"/>
        <w:rPr/>
      </w:pPr>
      <w:r>
        <w:rPr/>
        <w:t>Zasilanie do rozdzielni głównej - pozostają bez zmian. Zaprojektowano tablicę lokalną na potrzeby instalacji w sali (TR), zgodnie z przedstawionym w części rysunkowej schematem.</w:t>
      </w:r>
    </w:p>
    <w:p>
      <w:pPr>
        <w:pStyle w:val="Normal"/>
        <w:ind w:hanging="10" w:start="-5" w:end="0"/>
        <w:rPr/>
      </w:pPr>
      <w:r>
        <w:rPr/>
        <w:t>Zasilanie tablicy TR należy wykonać nowym kablem YKY 5x35 –po ścianie sali gimnastycznej z RG.</w:t>
      </w:r>
    </w:p>
    <w:p>
      <w:pPr>
        <w:pStyle w:val="Normal"/>
        <w:rPr/>
      </w:pPr>
      <w:r>
        <w:rPr/>
        <w:t>Tablica TR  będzie wyposażona w: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wyłącznik główny,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szyny zbiorcze w systemie TN-S lub okablowanie wewnętrzne,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ochronniki przeciwprzepięciowe klasy 2,</w:t>
      </w:r>
    </w:p>
    <w:p>
      <w:pPr>
        <w:pStyle w:val="Normal"/>
        <w:numPr>
          <w:ilvl w:val="0"/>
          <w:numId w:val="7"/>
        </w:numPr>
        <w:ind w:hanging="146" w:start="146" w:end="0"/>
        <w:rPr/>
      </w:pPr>
      <w:r>
        <w:rPr/>
        <w:t>zabezpieczenia nadmiarowo prądowe oraz różnicowoprądowe dla poszczególnych  obwodów odejściowych.</w:t>
      </w:r>
    </w:p>
    <w:p>
      <w:pPr>
        <w:pStyle w:val="Normal"/>
        <w:spacing w:before="0" w:after="266"/>
        <w:ind w:firstLine="708" w:start="-15" w:end="169"/>
        <w:rPr/>
      </w:pPr>
      <w:r>
        <w:rPr/>
        <w:t>Wyprowadzenia przewodów z rozdzielnicy wykonać poprzez listwy zaciskowe.  Wolne przestrzenie pod przyszłą rozbudowę będą wyposażone w szyny zbiorcze i wszelkie podzespoły mechaniczne, niezbędne do montażu aparatury.</w:t>
      </w:r>
    </w:p>
    <w:p>
      <w:pPr>
        <w:pStyle w:val="Heading4"/>
        <w:numPr>
          <w:ilvl w:val="3"/>
          <w:numId w:val="1"/>
        </w:numPr>
        <w:ind w:hanging="10" w:start="10" w:end="0"/>
        <w:rPr/>
      </w:pPr>
      <w:r>
        <w:rPr/>
        <w:t>3.3. Instalacja gniazd wtyczkowych</w:t>
      </w:r>
    </w:p>
    <w:p>
      <w:pPr>
        <w:pStyle w:val="Normal"/>
        <w:ind w:firstLine="708" w:start="-15" w:end="0"/>
        <w:rPr/>
      </w:pPr>
      <w:r>
        <w:rPr/>
        <w:t>Instalacja gniazd obejmuje zasilanie gniazd wtyczkowych 230V.Obwody zasilające wykonać przewodami typu HDHP-j  3/5x2,5/4 mm2 na napięcie izolacji 750 V. Obwody będą wyprowadzone bezpośrednio z  tablic TR.</w:t>
      </w:r>
    </w:p>
    <w:p>
      <w:pPr>
        <w:pStyle w:val="Normal"/>
        <w:ind w:firstLine="708" w:start="-15" w:end="0"/>
        <w:rPr/>
      </w:pPr>
      <w:r>
        <w:rPr/>
        <w:t xml:space="preserve">Prowadzenie przewodów zasilania gniazd – podtynkowe. </w:t>
      </w:r>
    </w:p>
    <w:p>
      <w:pPr>
        <w:pStyle w:val="Normal"/>
        <w:ind w:firstLine="708" w:start="-15" w:end="0"/>
        <w:rPr/>
      </w:pPr>
      <w:r>
        <w:rPr/>
        <w:t>Gniazda wtyczkowe  1L+N+PE , 230V / 400V / 24V, 50 Hz  - zaprojektowano jako podtynkowe o stopniu szczelności IP20. Żyłę PE należy połączyć z bolcami gniazd  i obudową aparatów elektrycznych.</w:t>
      </w:r>
    </w:p>
    <w:p>
      <w:pPr>
        <w:pStyle w:val="Normal"/>
        <w:rPr/>
      </w:pPr>
      <w:r>
        <w:rPr/>
        <w:t>Usytuowanie gniazd wtyczkowych wg rzutów.</w:t>
      </w:r>
    </w:p>
    <w:p>
      <w:pPr>
        <w:pStyle w:val="Normal"/>
        <w:rPr/>
      </w:pPr>
      <w:r>
        <w:rPr/>
      </w:r>
    </w:p>
    <w:p>
      <w:pPr>
        <w:pStyle w:val="Heading4"/>
        <w:numPr>
          <w:ilvl w:val="3"/>
          <w:numId w:val="1"/>
        </w:numPr>
        <w:ind w:hanging="10" w:start="10" w:end="0"/>
        <w:rPr/>
      </w:pPr>
      <w:r>
        <w:rPr/>
        <w:t>3.4. Instalacja  oświetleniowa</w:t>
      </w:r>
    </w:p>
    <w:p>
      <w:pPr>
        <w:pStyle w:val="Normal"/>
        <w:rPr>
          <w:b/>
        </w:rPr>
      </w:pPr>
      <w:r>
        <w:rPr>
          <w:b/>
        </w:rPr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Oświetlenie podstawowe</w:t>
      </w:r>
    </w:p>
    <w:p>
      <w:pPr>
        <w:pStyle w:val="Normal"/>
        <w:widowControl/>
        <w:bidi w:val="0"/>
        <w:spacing w:lineRule="auto" w:line="240" w:before="0" w:after="5"/>
        <w:ind w:hanging="0" w:start="0" w:end="0"/>
        <w:rPr/>
      </w:pPr>
      <w:r>
        <w:rPr/>
        <w:tab/>
        <w:t>Zaprojektowano oprawy sufitowe typu LED z siatką ochronną.</w:t>
      </w:r>
    </w:p>
    <w:p>
      <w:pPr>
        <w:pStyle w:val="Normal"/>
        <w:widowControl/>
        <w:bidi w:val="0"/>
        <w:spacing w:lineRule="auto" w:line="240" w:before="0" w:after="5"/>
        <w:ind w:hanging="0" w:start="0" w:end="0"/>
        <w:rPr/>
      </w:pPr>
      <w:r>
        <w:rPr/>
        <w:t xml:space="preserve">Oświetlenie powinno spełniać wymogi normy PN-EN-12464-1 lub równorzędnej. </w:t>
      </w:r>
    </w:p>
    <w:p>
      <w:pPr>
        <w:pStyle w:val="Normal"/>
        <w:ind w:hanging="10" w:start="-5" w:end="0"/>
        <w:rPr/>
      </w:pPr>
      <w:r>
        <w:rPr/>
        <w:t xml:space="preserve">Minimum 500 luksów (lx) na płaszczyźnie podłogi. Zalecany wysoki współczynnik oddawania barw (CRI) powyżej 80, neutralna barwa światła (3400-5300 K) i niski współczynnik olśnienia (UGR). </w:t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Projektowane oprawy oświetleniowe</w:t>
      </w:r>
    </w:p>
    <w:p>
      <w:pPr>
        <w:pStyle w:val="Normal"/>
        <w:ind w:hanging="10" w:start="-5" w:end="0"/>
        <w:rPr>
          <w:rFonts w:ascii="Arial" w:hAnsi="Arial" w:eastAsia="Segoe UI Symbol" w:cs="Arial"/>
        </w:rPr>
      </w:pPr>
      <w:r>
        <w:rPr/>
        <w:tab/>
        <w:tab/>
        <w:tab/>
        <w:t>Projektuje się oprawy oświetleniowe spełniające wymogi jak wymienione poniżej lub inne o niegorszych parametrach i równorzędnych danych technicznych:</w:t>
      </w:r>
    </w:p>
    <w:p>
      <w:pPr>
        <w:pStyle w:val="Normal"/>
        <w:ind w:hanging="10" w:start="-5" w:end="0"/>
        <w:rPr>
          <w:rFonts w:ascii="Arial" w:hAnsi="Arial" w:eastAsia="Segoe UI Symbol" w:cs="Arial"/>
        </w:rPr>
      </w:pPr>
      <w:r>
        <w:rPr>
          <w:rFonts w:eastAsia="Segoe UI Symbol" w:cs="Arial"/>
        </w:rPr>
        <w:t>Strumień</w:t>
      </w:r>
      <w:r>
        <w:rPr>
          <w:rFonts w:cs="Arial"/>
        </w:rPr>
        <w:t xml:space="preserve"> - (Oprawa) [lm]  30028</w:t>
      </w:r>
    </w:p>
    <w:p>
      <w:pPr>
        <w:pStyle w:val="Normal"/>
        <w:ind w:hanging="10" w:start="-5" w:end="4349"/>
        <w:rPr>
          <w:lang w:val="en-US"/>
        </w:rPr>
      </w:pPr>
      <w:r>
        <w:rPr>
          <w:rFonts w:eastAsia="Segoe UI Symbol" w:cs="Arial"/>
        </w:rPr>
        <w:t>Strumień</w:t>
      </w:r>
      <w:r>
        <w:rPr>
          <w:rFonts w:cs="Arial"/>
        </w:rPr>
        <w:t xml:space="preserve"> - (Lampa) [lm]  - 30641 (suma)</w:t>
        <w:br/>
        <w:t xml:space="preserve"> P [W] – 147W </w:t>
        <w:br/>
        <w:t>Natężenie w płaszczyźnie pracy:</w:t>
      </w:r>
    </w:p>
    <w:p>
      <w:pPr>
        <w:pStyle w:val="Normal"/>
        <w:ind w:hanging="10" w:start="-5" w:end="0"/>
        <w:rPr>
          <w:lang w:val="en-US"/>
        </w:rPr>
      </w:pPr>
      <w:r>
        <w:rPr>
          <w:lang w:val="en-US"/>
        </w:rPr>
        <w:t>E</w:t>
      </w:r>
      <w:r>
        <w:rPr>
          <w:sz w:val="22"/>
          <w:vertAlign w:val="subscript"/>
          <w:lang w:val="en-US"/>
        </w:rPr>
        <w:t>m</w:t>
      </w:r>
      <w:r>
        <w:rPr>
          <w:lang w:val="en-US"/>
        </w:rPr>
        <w:t xml:space="preserve">[lx] – 690 </w:t>
      </w:r>
    </w:p>
    <w:p>
      <w:pPr>
        <w:pStyle w:val="Normal"/>
        <w:ind w:hanging="10" w:start="-5" w:end="7020"/>
        <w:rPr/>
      </w:pPr>
      <w:r>
        <w:rPr>
          <w:lang w:val="en-US"/>
        </w:rPr>
        <w:t>E</w:t>
      </w:r>
      <w:r>
        <w:rPr>
          <w:sz w:val="22"/>
          <w:vertAlign w:val="subscript"/>
          <w:lang w:val="en-US"/>
        </w:rPr>
        <w:t xml:space="preserve">min. </w:t>
      </w:r>
      <w:r>
        <w:rPr/>
        <w:t>[lx] – 490</w:t>
      </w:r>
    </w:p>
    <w:p>
      <w:pPr>
        <w:pStyle w:val="Normal"/>
        <w:ind w:hanging="10" w:start="-5" w:end="7020"/>
        <w:rPr/>
      </w:pPr>
      <w:r>
        <w:rPr/>
        <w:t>E</w:t>
      </w:r>
      <w:r>
        <w:rPr>
          <w:sz w:val="22"/>
          <w:vertAlign w:val="subscript"/>
        </w:rPr>
        <w:t>max</w:t>
      </w:r>
      <w:r>
        <w:rPr/>
        <w:t>[lx] –  80</w:t>
      </w:r>
    </w:p>
    <w:p>
      <w:pPr>
        <w:pStyle w:val="Normal"/>
        <w:ind w:hanging="10" w:start="-5" w:end="0"/>
        <w:rPr/>
      </w:pPr>
      <w:r>
        <w:rPr/>
      </w:r>
    </w:p>
    <w:p>
      <w:pPr>
        <w:pStyle w:val="Normal"/>
        <w:ind w:firstLine="708" w:start="-15" w:end="0"/>
        <w:rPr/>
      </w:pPr>
      <w:r>
        <w:rPr/>
        <w:t>Oprawy należy zasilić przewodem HDHP-j  3,4,5x1,5 na napięcie izolacji 750. Obwody będą wyprowadzone bezpośrednio z  tablicy TR.  Przewody należy układać pod tynkiem; Sterowanie oświetleniem odbywać się będzie poprzez łączniki usytuowane przy wejściach do pomieszczeń co drugi rząd.</w:t>
      </w:r>
    </w:p>
    <w:p>
      <w:pPr>
        <w:pStyle w:val="Normal"/>
        <w:spacing w:before="0" w:after="266"/>
        <w:ind w:firstLine="708" w:start="-15" w:end="0"/>
        <w:rPr/>
      </w:pPr>
      <w:r>
        <w:rPr/>
        <w:t>Poziom natężenia - wg aktualnej normy oświetleniowej (zaprojektowane oprawy oświetleniowe spełniają wymogi)</w:t>
      </w:r>
      <w:r>
        <w:rPr>
          <w:color w:val="C9211E"/>
        </w:rPr>
        <w:t xml:space="preserve">. </w:t>
      </w:r>
    </w:p>
    <w:p>
      <w:pPr>
        <w:pStyle w:val="Heading3"/>
        <w:numPr>
          <w:ilvl w:val="2"/>
          <w:numId w:val="1"/>
        </w:numPr>
        <w:ind w:hanging="10" w:start="-5" w:end="0"/>
        <w:rPr/>
      </w:pPr>
      <w:r>
        <w:rPr/>
        <w:t>Oświetlenie ewakuacyjne</w:t>
      </w:r>
    </w:p>
    <w:p>
      <w:pPr>
        <w:pStyle w:val="Normal"/>
        <w:ind w:firstLine="708" w:start="-15" w:end="0"/>
        <w:rPr/>
      </w:pPr>
      <w:r>
        <w:rPr/>
        <w:t xml:space="preserve">Drogi ewakuacyjne  należy oznakować znakami podświetlanymi  zgodnie z normą PN-EN-ISO-7010 lub normą równorzędną, gdzie określony jest rodzaj i kształt znaków ewakuacyjnych. </w:t>
      </w:r>
    </w:p>
    <w:p>
      <w:pPr>
        <w:pStyle w:val="Normal"/>
        <w:ind w:hanging="10" w:start="-5" w:end="0"/>
        <w:rPr/>
      </w:pPr>
      <w:r>
        <w:rPr/>
        <w:t>Przyjąć następujące zasady: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W każdym miejscu drogi ewakuacyjnej widoczny co najmniej jeden znak ewakuacyjny.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Oprawy ewakuacyjne przewidywać na takiej wysokości, aby nie były zasłonięte przez inne osoby, czy elementy architektoniczne budynku ( min. 2,0 m od podłogi). - Znaki ewakuacyjne podświetlone bezpośrednio nad wyjściami a znaki kierunkowe w miejscach, w których drogi ewakuacyjne zmieniają kierunek.</w:t>
      </w:r>
    </w:p>
    <w:p>
      <w:pPr>
        <w:pStyle w:val="Normal"/>
        <w:numPr>
          <w:ilvl w:val="0"/>
          <w:numId w:val="5"/>
        </w:numPr>
        <w:ind w:hanging="10" w:start="10" w:end="0"/>
        <w:rPr/>
      </w:pPr>
      <w:r>
        <w:rPr/>
        <w:t>Wszystkie urządzenia zastosowane na obiekcie muszą posiadać niezbędne i prawidłowe certyfikaty i deklaracje zgodności, dokumenty dopuszczające do stosowania w ochronie przeciwpożarowej.</w:t>
      </w:r>
    </w:p>
    <w:p>
      <w:pPr>
        <w:pStyle w:val="Normal"/>
        <w:numPr>
          <w:ilvl w:val="0"/>
          <w:numId w:val="5"/>
        </w:numPr>
        <w:spacing w:before="0" w:after="266"/>
        <w:ind w:hanging="10" w:start="10" w:end="0"/>
        <w:rPr/>
      </w:pPr>
      <w:r>
        <w:rPr/>
        <w:t>Oświetlenie ewakuacyjne zostanie dopuszczone do użytkowania na podstawie spełnienia wymogów zawartych w Rozporządzeniu Ministra Spraw Wewnętrznych i Administracji z dnia 27 kwietnia 2010 r. zmieniającego rozporządzenie w sprawie wykazu wyrobów służących zapewnieniu bezpieczeństwa publicznego lub ochronie zdrowia i życia oraz mienia, a także zasad wydawania dopuszczenia tych wyrobów do użytkowania.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3.5. Ochrona przepięciowa</w:t>
      </w:r>
    </w:p>
    <w:p>
      <w:pPr>
        <w:pStyle w:val="Normal"/>
        <w:spacing w:before="0" w:after="266"/>
        <w:ind w:firstLine="708" w:start="-15" w:end="0"/>
        <w:rPr/>
      </w:pPr>
      <w:r>
        <w:rPr/>
        <w:t>W części elektrycznej dla budynku wykonana zostanie skoordynowana ochrona przepięciowa. W projektowanej rozdzielnicy RG przewidziano ograniczniki klasy 1. W projektowanej tablicy TR będzie ogranicznik klasy 2.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3.6. Ochrona przeciwporażeniowa</w:t>
      </w:r>
    </w:p>
    <w:p>
      <w:pPr>
        <w:pStyle w:val="Normal"/>
        <w:ind w:firstLine="708" w:start="-15" w:end="0"/>
        <w:rPr/>
      </w:pPr>
      <w:r>
        <w:rPr/>
        <w:t xml:space="preserve">Instalacja elektryczna wewnętrzna oraz zewnętrzne WLZ pracuje w układzie sieciowym TN-S. </w:t>
      </w:r>
    </w:p>
    <w:p>
      <w:pPr>
        <w:pStyle w:val="Normal"/>
        <w:ind w:firstLine="708" w:start="-15" w:end="0"/>
        <w:rPr/>
      </w:pPr>
      <w:r>
        <w:rPr/>
        <w:t>Jako podstawową ochronę od porażeń prądem elektrycznym stosuje się izolację roboczą i ochronną kabli, przewodów i urządzeń.</w:t>
      </w:r>
    </w:p>
    <w:p>
      <w:pPr>
        <w:pStyle w:val="Normal"/>
        <w:ind w:firstLine="708" w:start="-15" w:end="0"/>
        <w:rPr/>
      </w:pPr>
      <w:r>
        <w:rPr/>
        <w:t>Jako dodatkowa ochrona przed porażeniem prądem elektrycznym w instalacji  zastosowane zostanie samoczynne  wyłączenie zasilania za pomocą wyłączników nadmiarowo prądowych, bezpieczników topikowych, wyłącznik różnicowoprądowy o prądzie zadziałania 30 mA oraz urządzeń w II klasie ochronności.</w:t>
      </w:r>
    </w:p>
    <w:p>
      <w:pPr>
        <w:pStyle w:val="Normal"/>
        <w:spacing w:before="0" w:after="266"/>
        <w:ind w:firstLine="708" w:start="-15" w:end="0"/>
        <w:rPr/>
      </w:pPr>
      <w:r>
        <w:rPr/>
        <w:t>Bezpieczeństwo przeciwporażeniowe zapewnia również system przewodów wyrównawczych połączonych  GSW. Połączeniami wyrównawczymi należy objąć wszelkie przewody metalowe różnych instalacji oraz części przewodzące obce mogące wprowadzić określony potencjał.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3.7. Połączenia wyrównawcze</w:t>
      </w:r>
    </w:p>
    <w:p>
      <w:pPr>
        <w:pStyle w:val="Normal"/>
        <w:spacing w:before="0" w:after="266"/>
        <w:ind w:firstLine="708" w:start="-15" w:end="0"/>
        <w:rPr/>
      </w:pPr>
      <w:r>
        <w:rPr/>
        <w:t>W pomieszczeniu rozdzielni głównych powinny być zamontowane główne szyny uziemiające GSU połączone z uziemieniem otokowym oraz z szyną PE rozdzielnicy. W pozostałych pomieszczeniach  należy zapewnić wyposażenie w główne szyny wyrównania potencjału GSW. Szyny wyrównawcze łączyć ze sobą przewodem oraz z GSU przewodem Cu 16 mm</w:t>
      </w:r>
      <w:r>
        <w:rPr>
          <w:sz w:val="22"/>
          <w:vertAlign w:val="superscript"/>
        </w:rPr>
        <w:t xml:space="preserve">2  </w:t>
      </w:r>
      <w:r>
        <w:rPr/>
        <w:t>.  Z GSW łączyć szynę PE rozdzielni głównej, wszystkie metalowe elementy konstrukcji i wyposażenia m. in. korytka kablowe, metalowe rurociągi I kanały wentylacyjne, uziemienia UPS.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3.8. Prowadzenie kabli i przewodów</w:t>
      </w:r>
    </w:p>
    <w:p>
      <w:pPr>
        <w:pStyle w:val="Normal"/>
        <w:ind w:firstLine="708" w:start="-15" w:end="0"/>
        <w:rPr>
          <w:b/>
        </w:rPr>
      </w:pPr>
      <w:r>
        <w:rPr/>
        <w:t>W przedmiotowych pomieszczeniach przewiduje się w większości prowadzenie przewodów zasilania gniazd i oświetlenia – podtynkowo w wykonanych bruzdach ściennych.</w:t>
      </w:r>
    </w:p>
    <w:p>
      <w:pPr>
        <w:pStyle w:val="Normal"/>
        <w:ind w:hanging="10" w:start="-5" w:end="0"/>
        <w:rPr/>
      </w:pPr>
      <w:r>
        <w:rPr>
          <w:b/>
        </w:rPr>
        <w:t>Uwaga:</w:t>
      </w:r>
      <w:r>
        <w:rPr/>
        <w:t xml:space="preserve"> </w:t>
      </w:r>
    </w:p>
    <w:p>
      <w:pPr>
        <w:pStyle w:val="Normal"/>
        <w:spacing w:before="0" w:after="266"/>
        <w:ind w:hanging="10" w:start="-5" w:end="0"/>
        <w:rPr/>
      </w:pPr>
      <w:r>
        <w:rPr/>
        <w:tab/>
        <w:tab/>
        <w:tab/>
        <w:t>Kable, przewody i element instalacji przechodzące przez przegrody należy układać  – z zachowaniem warunków ochrony p.poż.  Należy stosować przepusty p.poż. odpowiadające obowiązującym normom i przepisom z dostosowaniem do parametrów odporności poszczególnych przegród.</w:t>
      </w:r>
    </w:p>
    <w:p>
      <w:pPr>
        <w:pStyle w:val="Heading4"/>
        <w:numPr>
          <w:ilvl w:val="3"/>
          <w:numId w:val="1"/>
        </w:numPr>
        <w:ind w:hanging="10" w:start="-5" w:end="0"/>
        <w:rPr/>
      </w:pPr>
      <w:r>
        <w:rPr/>
        <w:t>3.9. Instalacja strukturalna i nagłośnienia</w:t>
      </w:r>
    </w:p>
    <w:p>
      <w:pPr>
        <w:pStyle w:val="Normal"/>
        <w:rPr/>
      </w:pPr>
      <w:r>
        <w:rPr/>
        <w:t>Dla potrzeb instalacji strukturalnej przyjęto kategorię 6A.</w:t>
      </w:r>
    </w:p>
    <w:p>
      <w:pPr>
        <w:pStyle w:val="Normal"/>
        <w:ind w:hanging="10" w:start="-5" w:end="0"/>
        <w:rPr/>
      </w:pPr>
      <w:r>
        <w:rPr/>
        <w:t>Punkt PEL oparty będzie na gnieździe 2GHz z możliwością wymiany wkładek.</w:t>
      </w:r>
    </w:p>
    <w:p>
      <w:pPr>
        <w:pStyle w:val="Normal"/>
        <w:ind w:hanging="10" w:start="-5" w:end="0"/>
        <w:rPr/>
      </w:pPr>
      <w:r>
        <w:rPr/>
        <w:tab/>
        <w:tab/>
        <w:tab/>
        <w:t xml:space="preserve">Zaprojektowano instalację wchodzącą w skład indywidualnego systemu audio. Instalacja składać się będzie ze skrzynki XLR (4xXLR), okablowania XLR oraz gniazd XLR rozmieszczonych wg rysunku. Instalacja zaopatrywać będzie dwa niezależne zestawy głośników używane w zależności od potrzeb (zestaw estradowy / zestaw turniejowy). Gniazda podtynkowe (dopuszczalne natynkowe) sytuowane zgodnie z wytycznymi rysunkowymi. Okablowanie XLR sygnałowe  i zasilania odbiorników nagłośnienia - prowadzone podtynkowo z zachowaniem kierunków rozprowadzenia sygnału - wg części rysunkowej. </w:t>
      </w:r>
    </w:p>
    <w:p>
      <w:pPr>
        <w:pStyle w:val="Normal"/>
        <w:ind w:hanging="10" w:start="-5" w:end="0"/>
        <w:rPr/>
      </w:pPr>
      <w:r>
        <w:rPr/>
        <w:t>Sterowanie nagłośnieniem - wg indywidualnego wyposażenia użytkowników;</w:t>
      </w:r>
    </w:p>
    <w:p>
      <w:pPr>
        <w:pStyle w:val="Normal"/>
        <w:ind w:hanging="10" w:start="-5" w:end="0"/>
        <w:rPr/>
      </w:pPr>
      <w:r>
        <w:rPr/>
        <w:t>Głośniki - wg indywidualnego wyposażenia użytkowników;</w:t>
      </w:r>
    </w:p>
    <w:p>
      <w:pPr>
        <w:pStyle w:val="Normal"/>
        <w:ind w:hanging="10" w:start="-5" w:end="0"/>
        <w:rPr/>
      </w:pPr>
      <w:r>
        <w:rPr/>
        <w:t>UWAGA: przed realizacją systemu należy dostosować parametry wykonawcze – wg wyposażenia niestacjonarnego (głośniki / wzmacniacze / mikrofony / miksery, itp.), znajdującego się w dyspozycji użytkowników lub wyposażenia planowanego w ramach odrębnych prac.</w:t>
      </w:r>
    </w:p>
    <w:p>
      <w:pPr>
        <w:pStyle w:val="Normal"/>
        <w:ind w:hanging="10" w:start="-5" w:end="0"/>
        <w:rPr/>
      </w:pPr>
      <w:r>
        <w:rPr/>
      </w:r>
    </w:p>
    <w:p>
      <w:pPr>
        <w:pStyle w:val="Heading4"/>
        <w:numPr>
          <w:ilvl w:val="0"/>
          <w:numId w:val="0"/>
        </w:numPr>
        <w:ind w:hanging="0" w:start="-15" w:end="0"/>
        <w:rPr/>
      </w:pPr>
      <w:r>
        <w:rPr/>
        <w:t>3.10. Pomiary powykonawcze i kontrola instalacji</w:t>
      </w:r>
    </w:p>
    <w:p>
      <w:pPr>
        <w:pStyle w:val="Normal"/>
        <w:ind w:firstLine="708" w:start="-15" w:end="0"/>
        <w:rPr/>
      </w:pPr>
      <w:r>
        <w:rPr/>
        <w:t xml:space="preserve">Po wykonaniu instalacji należy potwierdzić ich prawidłowe działanie i zgodność z obowiązującymi normami poprzez fizyczną inspekcję widocznych przewodów, gniazd, kontaktów, opraw oświetleniowych, tablic rozdzielczych i innych elementów. </w:t>
      </w:r>
    </w:p>
    <w:p>
      <w:pPr>
        <w:pStyle w:val="Normal"/>
        <w:ind w:firstLine="708" w:start="-15" w:end="0"/>
        <w:rPr/>
      </w:pPr>
      <w:r>
        <w:rPr/>
        <w:t>Należy wykonać pomiary mające na celu weryfikację stanu technicznego, bezpieczeństwo oraz poprawność działania urządzeń zabezpieczających. Prace pomiarowe powinny uwzględniać: pomiary rezystencji izolacji, pomiary ciągłości przewodów ochronnych i wyrównawczych, pomiary rezystencji uziemienia, pomiary impedencji pętli zwarcia, badanie wyłączników różnicowoprądowych.</w:t>
      </w:r>
    </w:p>
    <w:p>
      <w:pPr>
        <w:pStyle w:val="Normal"/>
        <w:spacing w:before="0" w:after="506"/>
        <w:ind w:hanging="10" w:start="-5" w:end="0"/>
        <w:rPr/>
      </w:pPr>
      <w:r>
        <w:rPr/>
        <w:t>Wyniki wszystkich przeprowadzonych pomiarów należy udokumentować w protokole pomiarów.</w:t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2"/>
          <w:numId w:val="1"/>
        </w:numPr>
        <w:spacing w:before="0" w:after="98"/>
        <w:ind w:hanging="0" w:start="-5" w:end="0"/>
        <w:rPr/>
      </w:pPr>
      <w:r>
        <w:rPr/>
      </w:r>
    </w:p>
    <w:p>
      <w:pPr>
        <w:pStyle w:val="Heading3"/>
        <w:numPr>
          <w:ilvl w:val="0"/>
          <w:numId w:val="0"/>
        </w:numPr>
        <w:spacing w:before="0" w:after="98"/>
        <w:ind w:hanging="0" w:start="-5" w:end="0"/>
        <w:rPr/>
      </w:pPr>
      <w:r>
        <w:rPr/>
        <w:t>4. UWAGI KOŃCOWE</w:t>
      </w:r>
    </w:p>
    <w:p>
      <w:pPr>
        <w:pStyle w:val="Normal"/>
        <w:ind w:firstLine="708" w:start="-15" w:end="0"/>
        <w:rPr/>
      </w:pPr>
      <w:r>
        <w:rPr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ind w:firstLine="708" w:start="-15" w:end="0"/>
        <w:rPr/>
      </w:pPr>
      <w:r>
        <w:rPr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ind w:firstLine="708" w:start="-15" w:end="0"/>
        <w:rPr/>
      </w:pPr>
      <w:r>
        <w:rPr/>
        <w:t xml:space="preserve">Całość prac związanych z pracami elektrycznymi należy prowadzić zgodnie z obowiązującymi normami i przepisami BHP. </w:t>
      </w:r>
    </w:p>
    <w:p>
      <w:pPr>
        <w:pStyle w:val="Normal"/>
        <w:ind w:firstLine="565" w:start="-15" w:end="0"/>
        <w:rPr/>
      </w:pPr>
      <w:r>
        <w:rPr/>
        <w:t xml:space="preserve">Dopuszcza się w realizacji inwestycji zastosowanie innych materiałów, urządzeń i rozwiązań pod warunkiem zachowania ich równorzędności w stosunku do wskazanych w projekcie i posiadających  nie gorsze parametry techniczne i właściwości. </w:t>
      </w:r>
    </w:p>
    <w:p>
      <w:pPr>
        <w:pStyle w:val="Normal"/>
        <w:ind w:firstLine="734" w:start="-15" w:end="0"/>
        <w:rPr/>
      </w:pPr>
      <w:r>
        <w:rPr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spacing w:before="0" w:after="266"/>
        <w:ind w:firstLine="708" w:start="-15" w:end="0"/>
        <w:rPr/>
      </w:pPr>
      <w:r>
        <w:rPr/>
        <w:t>Po wykonaniu projektowanych prac należy wykonać pomiary zrealizowanej instalacji elektrycznej.</w:t>
      </w:r>
    </w:p>
    <w:p>
      <w:pPr>
        <w:pStyle w:val="Normal"/>
        <w:spacing w:before="0" w:after="5"/>
        <w:ind w:hanging="0" w:start="6078" w:end="0"/>
        <w:rPr/>
      </w:pPr>
      <w:r>
        <w:rPr/>
        <w:t>Mgr inż. Sebastian Michta upr. nr: SWK/0174/PWOE/11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6" w:right="907" w:gutter="0" w:header="676" w:top="1612" w:footer="708" w:bottom="880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egoe UI Symbol"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Arial">
    <w:charset w:val="01"/>
    <w:family w:val="swiss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2" w:before="0" w:after="0"/>
      <w:ind w:hanging="0" w:start="2" w:end="0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11</w:t>
    </w:r>
    <w:r>
      <w:rPr/>
      <w:fldChar w:fldCharType="end"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spacing w:lineRule="auto" w:line="252" w:before="0" w:after="160"/>
      <w:ind w:hanging="0" w:start="0" w:end="0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widowControl/>
      <w:bidi w:val="0"/>
      <w:spacing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Calibri" w:hAnsi="Calibri" w:eastAsia="Calibri" w:cs="Calibri"/>
        <w:sz w:val="12"/>
        <w:u w:val="single" w:color="000000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</w:p>
  <w:p>
    <w:pPr>
      <w:pStyle w:val="Normal"/>
      <w:spacing w:lineRule="auto" w:line="252" w:before="0" w:after="0"/>
      <w:ind w:hanging="0" w:start="0" w:end="135"/>
      <w:jc w:val="end"/>
      <w:rPr>
        <w:rFonts w:ascii="Calibri" w:hAnsi="Calibri" w:eastAsia="Calibri" w:cs="Calibri"/>
        <w:sz w:val="12"/>
        <w:u w:val="single" w:color="000000"/>
      </w:rPr>
    </w:pPr>
    <w:r>
      <w:rPr>
        <w:rFonts w:eastAsia="Calibri" w:cs="Calibri" w:ascii="Calibri" w:hAnsi="Calibri"/>
        <w:sz w:val="12"/>
        <w:u w:val="single" w:color="000000"/>
      </w:rPr>
      <w:t>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widowControl/>
      <w:bidi w:val="0"/>
      <w:spacing w:before="0" w:after="5"/>
      <w:ind w:hanging="0" w:start="0" w:end="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>
        <w:rFonts w:ascii="Bahnschrift Light Condensed" w:hAnsi="Bahnschrift Light Condensed" w:eastAsia="Calibri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widowControl/>
      <w:bidi w:val="0"/>
      <w:spacing w:lineRule="atLeast" w:line="30" w:before="0" w:after="5"/>
      <w:ind w:hanging="0" w:start="0" w:end="0"/>
      <w:jc w:val="center"/>
      <w:rPr/>
    </w:pPr>
    <w:r>
      <w:rPr>
        <w:rFonts w:eastAsia="Calibri"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eastAsia="Calibri"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•"/>
      <w:lvlJc w:val="start"/>
      <w:pPr>
        <w:tabs>
          <w:tab w:val="num" w:pos="708"/>
        </w:tabs>
        <w:ind w:start="72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3">
    <w:lvl w:ilvl="0">
      <w:start w:val="1"/>
      <w:numFmt w:val="decimal"/>
      <w:lvlText w:val="%1."/>
      <w:lvlJc w:val="start"/>
      <w:pPr>
        <w:tabs>
          <w:tab w:val="num" w:pos="708"/>
        </w:tabs>
        <w:ind w:start="200" w:hanging="0"/>
      </w:pPr>
      <w:rPr>
        <w:dstrike w:val="false"/>
        <w:strike w:val="false"/>
        <w:vertAlign w:val="baseline"/>
        <w:position w:val="0"/>
        <w:sz w:val="18"/>
        <w:sz w:val="18"/>
        <w:i w:val="false"/>
        <w:u w:val="none" w:color="000000"/>
        <w:b w:val="false"/>
        <w:shd w:fill="auto" w:val="clear"/>
        <w:szCs w:val="18"/>
        <w:rFonts w:ascii="Arial" w:hAnsi="Arial" w:eastAsia="Arial" w:cs="Arial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4">
    <w:lvl w:ilvl="0">
      <w:start w:val="1"/>
      <w:numFmt w:val="bullet"/>
      <w:lvlText w:val="-"/>
      <w:lvlJc w:val="start"/>
      <w:pPr>
        <w:tabs>
          <w:tab w:val="num" w:pos="708"/>
        </w:tabs>
        <w:ind w:start="279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5">
    <w:lvl w:ilvl="0">
      <w:start w:val="1"/>
      <w:numFmt w:val="bullet"/>
      <w:lvlText w:val="-"/>
      <w:lvlJc w:val="start"/>
      <w:pPr>
        <w:tabs>
          <w:tab w:val="num" w:pos="0"/>
        </w:tabs>
        <w:ind w:start="1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6">
    <w:lvl w:ilvl="0">
      <w:start w:val="1"/>
      <w:numFmt w:val="bullet"/>
      <w:lvlText w:val="•"/>
      <w:lvlJc w:val="start"/>
      <w:pPr>
        <w:tabs>
          <w:tab w:val="num" w:pos="708"/>
        </w:tabs>
        <w:ind w:start="720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7">
    <w:lvl w:ilvl="0">
      <w:start w:val="1"/>
      <w:numFmt w:val="bullet"/>
      <w:lvlText w:val="-"/>
      <w:lvlJc w:val="start"/>
      <w:pPr>
        <w:tabs>
          <w:tab w:val="num" w:pos="708"/>
        </w:tabs>
        <w:ind w:start="146" w:hanging="0"/>
      </w:pPr>
      <w:rPr>
        <w:rFonts w:ascii="Arial" w:hAnsi="Arial" w:cs="Arial" w:hint="default"/>
        <w:dstrike w:val="false"/>
        <w:strike w:val="false"/>
        <w:vertAlign w:val="baseline"/>
        <w:position w:val="0"/>
        <w:sz w:val="24"/>
        <w:sz w:val="24"/>
        <w:i w:val="false"/>
        <w:u w:val="none" w:color="000000"/>
        <w:b w:val="false"/>
        <w:shd w:fill="auto" w:val="clear"/>
        <w:szCs w:val="24"/>
        <w:color w:val="000000"/>
      </w:rPr>
    </w:lvl>
    <w:lvl w:ilvl="1">
      <w:start w:val="1"/>
      <w:numFmt w:val="decimal"/>
      <w:lvlText w:val="%2."/>
      <w:lvlJc w:val="start"/>
      <w:pPr>
        <w:tabs>
          <w:tab w:val="num" w:pos="1080"/>
        </w:tabs>
        <w:ind w:start="1080" w:hanging="360"/>
      </w:pPr>
      <w:rPr/>
    </w:lvl>
    <w:lvl w:ilvl="2">
      <w:start w:val="1"/>
      <w:numFmt w:val="decimal"/>
      <w:lvlText w:val="%3."/>
      <w:lvlJc w:val="start"/>
      <w:pPr>
        <w:tabs>
          <w:tab w:val="num" w:pos="1440"/>
        </w:tabs>
        <w:ind w:start="1440" w:hanging="360"/>
      </w:pPr>
      <w:rPr/>
    </w:lvl>
    <w:lvl w:ilvl="3">
      <w:start w:val="1"/>
      <w:numFmt w:val="decimal"/>
      <w:lvlText w:val="%4."/>
      <w:lvlJc w:val="start"/>
      <w:pPr>
        <w:tabs>
          <w:tab w:val="num" w:pos="1800"/>
        </w:tabs>
        <w:ind w:start="1800" w:hanging="360"/>
      </w:pPr>
      <w:rPr/>
    </w:lvl>
    <w:lvl w:ilvl="4">
      <w:start w:val="1"/>
      <w:numFmt w:val="decimal"/>
      <w:lvlText w:val="%5."/>
      <w:lvlJc w:val="start"/>
      <w:pPr>
        <w:tabs>
          <w:tab w:val="num" w:pos="2160"/>
        </w:tabs>
        <w:ind w:start="2160" w:hanging="360"/>
      </w:pPr>
      <w:rPr/>
    </w:lvl>
    <w:lvl w:ilvl="5">
      <w:start w:val="1"/>
      <w:numFmt w:val="decimal"/>
      <w:lvlText w:val="%6."/>
      <w:lvlJc w:val="start"/>
      <w:pPr>
        <w:tabs>
          <w:tab w:val="num" w:pos="2520"/>
        </w:tabs>
        <w:ind w:start="2520" w:hanging="360"/>
      </w:pPr>
      <w:rPr/>
    </w:lvl>
    <w:lvl w:ilvl="6">
      <w:start w:val="1"/>
      <w:numFmt w:val="decimal"/>
      <w:lvlText w:val="%7."/>
      <w:lvlJc w:val="start"/>
      <w:pPr>
        <w:tabs>
          <w:tab w:val="num" w:pos="2880"/>
        </w:tabs>
        <w:ind w:start="2880" w:hanging="360"/>
      </w:pPr>
      <w:rPr/>
    </w:lvl>
    <w:lvl w:ilvl="7">
      <w:start w:val="1"/>
      <w:numFmt w:val="decimal"/>
      <w:lvlText w:val="%8."/>
      <w:lvlJc w:val="start"/>
      <w:pPr>
        <w:tabs>
          <w:tab w:val="num" w:pos="3240"/>
        </w:tabs>
        <w:ind w:start="3240" w:hanging="360"/>
      </w:pPr>
      <w:rPr/>
    </w:lvl>
    <w:lvl w:ilvl="8">
      <w:start w:val="1"/>
      <w:numFmt w:val="decimal"/>
      <w:lvlText w:val="%9."/>
      <w:lvlJc w:val="start"/>
      <w:pPr>
        <w:tabs>
          <w:tab w:val="num" w:pos="3600"/>
        </w:tabs>
        <w:ind w:start="3600" w:hanging="360"/>
      </w:pPr>
      <w:rPr/>
    </w:lvl>
  </w:abstractNum>
  <w:abstractNum w:abstractNumId="8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40" w:before="0" w:after="5"/>
      <w:ind w:hanging="10" w:start="718" w:end="0"/>
      <w:jc w:val="start"/>
    </w:pPr>
    <w:rPr>
      <w:rFonts w:ascii="Arial" w:hAnsi="Arial" w:eastAsia="Arial" w:cs="Arial"/>
      <w:color w:val="000000"/>
      <w:kern w:val="2"/>
      <w:sz w:val="24"/>
      <w:szCs w:val="24"/>
      <w:lang w:val="pl-PL" w:eastAsia="zh-CN" w:bidi="ar-SA"/>
    </w:rPr>
  </w:style>
  <w:style w:type="paragraph" w:styleId="Heading1">
    <w:name w:val="Heading 1"/>
    <w:next w:val="Normal"/>
    <w:qFormat/>
    <w:pPr>
      <w:keepNext w:val="true"/>
      <w:keepLines/>
      <w:widowControl/>
      <w:numPr>
        <w:ilvl w:val="0"/>
        <w:numId w:val="1"/>
      </w:numPr>
      <w:suppressAutoHyphens w:val="true"/>
      <w:bidi w:val="0"/>
      <w:spacing w:lineRule="auto" w:line="252" w:before="0" w:after="19"/>
      <w:jc w:val="start"/>
      <w:outlineLvl w:val="0"/>
    </w:pPr>
    <w:rPr>
      <w:rFonts w:ascii="Arial" w:hAnsi="Arial" w:eastAsia="Arial" w:cs="Arial"/>
      <w:b/>
      <w:color w:val="000000"/>
      <w:kern w:val="2"/>
      <w:sz w:val="28"/>
      <w:szCs w:val="24"/>
      <w:u w:val="single" w:color="000000"/>
      <w:lang w:val="pl-PL" w:eastAsia="zh-CN" w:bidi="ar-SA"/>
    </w:rPr>
  </w:style>
  <w:style w:type="paragraph" w:styleId="Heading2">
    <w:name w:val="Heading 2"/>
    <w:next w:val="Normal"/>
    <w:qFormat/>
    <w:pPr>
      <w:keepNext w:val="true"/>
      <w:keepLines/>
      <w:widowControl/>
      <w:numPr>
        <w:ilvl w:val="1"/>
        <w:numId w:val="1"/>
      </w:numPr>
      <w:suppressAutoHyphens w:val="true"/>
      <w:bidi w:val="0"/>
      <w:spacing w:lineRule="auto" w:line="240" w:before="0" w:after="5"/>
      <w:ind w:hanging="10" w:start="10" w:end="0"/>
      <w:jc w:val="start"/>
      <w:outlineLvl w:val="1"/>
    </w:pPr>
    <w:rPr>
      <w:rFonts w:ascii="Arial" w:hAnsi="Arial" w:eastAsia="Arial" w:cs="Arial"/>
      <w:b/>
      <w:color w:val="000000"/>
      <w:kern w:val="2"/>
      <w:sz w:val="24"/>
      <w:szCs w:val="24"/>
      <w:lang w:val="pl-PL" w:eastAsia="zh-CN" w:bidi="ar-SA"/>
    </w:rPr>
  </w:style>
  <w:style w:type="paragraph" w:styleId="Heading3">
    <w:name w:val="Heading 3"/>
    <w:next w:val="Normal"/>
    <w:qFormat/>
    <w:pPr>
      <w:keepNext w:val="true"/>
      <w:keepLines/>
      <w:widowControl/>
      <w:numPr>
        <w:ilvl w:val="2"/>
        <w:numId w:val="1"/>
      </w:numPr>
      <w:suppressAutoHyphens w:val="true"/>
      <w:bidi w:val="0"/>
      <w:spacing w:lineRule="auto" w:line="252" w:before="0" w:after="0"/>
      <w:ind w:hanging="10" w:start="370" w:end="0"/>
      <w:jc w:val="start"/>
      <w:outlineLvl w:val="2"/>
    </w:pPr>
    <w:rPr>
      <w:rFonts w:ascii="Arial" w:hAnsi="Arial" w:eastAsia="Arial" w:cs="Arial"/>
      <w:b/>
      <w:color w:val="000000"/>
      <w:kern w:val="2"/>
      <w:sz w:val="24"/>
      <w:szCs w:val="24"/>
      <w:u w:val="single" w:color="000000"/>
      <w:lang w:val="pl-PL" w:eastAsia="zh-CN" w:bidi="ar-SA"/>
    </w:rPr>
  </w:style>
  <w:style w:type="paragraph" w:styleId="Heading4">
    <w:name w:val="Heading 4"/>
    <w:next w:val="Normal"/>
    <w:qFormat/>
    <w:pPr>
      <w:keepNext w:val="true"/>
      <w:keepLines/>
      <w:widowControl/>
      <w:numPr>
        <w:ilvl w:val="3"/>
        <w:numId w:val="1"/>
      </w:numPr>
      <w:suppressAutoHyphens w:val="true"/>
      <w:bidi w:val="0"/>
      <w:spacing w:lineRule="auto" w:line="240" w:before="0" w:after="5"/>
      <w:ind w:hanging="10" w:start="10" w:end="0"/>
      <w:jc w:val="start"/>
      <w:outlineLvl w:val="3"/>
    </w:pPr>
    <w:rPr>
      <w:rFonts w:ascii="Arial" w:hAnsi="Arial" w:eastAsia="Arial" w:cs="Arial"/>
      <w:b/>
      <w:color w:val="000000"/>
      <w:kern w:val="2"/>
      <w:sz w:val="24"/>
      <w:szCs w:val="24"/>
      <w:lang w:val="pl-PL" w:eastAsia="zh-CN" w:bidi="ar-SA"/>
    </w:rPr>
  </w:style>
  <w:style w:type="character" w:styleId="WW8Num2z0">
    <w:name w:val="WW8Num2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3z0">
    <w:name w:val="WW8Num3z0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18"/>
      <w:sz w:val="18"/>
      <w:szCs w:val="18"/>
      <w:u w:val="none" w:color="000000"/>
      <w:shd w:fill="auto" w:val="clear"/>
      <w:vertAlign w:val="baseline"/>
    </w:rPr>
  </w:style>
  <w:style w:type="character" w:styleId="WW8Num4z0">
    <w:name w:val="WW8Num4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5z0">
    <w:name w:val="WW8Num5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6z0">
    <w:name w:val="WW8Num6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7z0">
    <w:name w:val="WW8Num7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4z1">
    <w:name w:val="WW8Num4z1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8z0">
    <w:name w:val="WW8Num8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9z0">
    <w:name w:val="WW8Num9z0"/>
    <w:qFormat/>
    <w:rPr>
      <w:rFonts w:ascii="Arial" w:hAnsi="Arial" w:eastAsia="Arial" w:cs="Arial"/>
      <w:b/>
      <w:bCs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10z0">
    <w:name w:val="WW8Num10z0"/>
    <w:qFormat/>
    <w:rPr>
      <w:rFonts w:ascii="Arial" w:hAnsi="Arial" w:cs="Aria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1z0">
    <w:name w:val="WW8Num1z0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2z1">
    <w:name w:val="WW8Num2z1"/>
    <w:qFormat/>
    <w:rPr>
      <w:rFonts w:ascii="Segoe UI Symbol" w:hAnsi="Segoe UI Symbol" w:eastAsia="Segoe UI Symbol" w:cs="Segoe UI Symbo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WW8Num3z1">
    <w:name w:val="WW8Num3z1"/>
    <w:qFormat/>
    <w:rPr>
      <w:rFonts w:ascii="Arial" w:hAnsi="Arial" w:eastAsia="Arial" w:cs="Arial"/>
      <w:b w:val="false"/>
      <w:i w:val="false"/>
      <w:strike w:val="false"/>
      <w:dstrike w:val="false"/>
      <w:color w:val="000000"/>
      <w:position w:val="0"/>
      <w:sz w:val="20"/>
      <w:sz w:val="20"/>
      <w:szCs w:val="20"/>
      <w:u w:val="none" w:color="000000"/>
      <w:shd w:fill="auto" w:val="clear"/>
      <w:vertAlign w:val="baseline"/>
    </w:rPr>
  </w:style>
  <w:style w:type="character" w:styleId="WW8Num8z1">
    <w:name w:val="WW8Num8z1"/>
    <w:qFormat/>
    <w:rPr>
      <w:rFonts w:ascii="Segoe UI Symbol" w:hAnsi="Segoe UI Symbol" w:eastAsia="Segoe UI Symbol" w:cs="Segoe UI Symbol"/>
      <w:b w:val="false"/>
      <w:i w:val="false"/>
      <w:strike w:val="false"/>
      <w:dstrike w:val="false"/>
      <w:color w:val="000000"/>
      <w:position w:val="0"/>
      <w:sz w:val="24"/>
      <w:sz w:val="24"/>
      <w:szCs w:val="24"/>
      <w:u w:val="none" w:color="000000"/>
      <w:shd w:fill="auto" w:val="clear"/>
      <w:vertAlign w:val="baseline"/>
    </w:rPr>
  </w:style>
  <w:style w:type="character" w:styleId="Domylnaczcionkaakapitu">
    <w:name w:val="Domyślna czcionka akapitu"/>
    <w:qFormat/>
    <w:rPr/>
  </w:style>
  <w:style w:type="character" w:styleId="Nagwek2Znak">
    <w:name w:val="Nagłówek 2 Znak"/>
    <w:qFormat/>
    <w:rPr>
      <w:rFonts w:ascii="Arial" w:hAnsi="Arial" w:eastAsia="Arial" w:cs="Arial"/>
      <w:b/>
      <w:color w:val="000000"/>
      <w:sz w:val="24"/>
    </w:rPr>
  </w:style>
  <w:style w:type="character" w:styleId="Nagwek1Znak">
    <w:name w:val="Nagłówek 1 Znak"/>
    <w:qFormat/>
    <w:rPr>
      <w:rFonts w:ascii="Arial" w:hAnsi="Arial" w:eastAsia="Arial" w:cs="Arial"/>
      <w:b/>
      <w:color w:val="000000"/>
      <w:sz w:val="28"/>
      <w:u w:val="single" w:color="000000"/>
    </w:rPr>
  </w:style>
  <w:style w:type="character" w:styleId="Nagwek4Znak">
    <w:name w:val="Nagłówek 4 Znak"/>
    <w:qFormat/>
    <w:rPr>
      <w:rFonts w:ascii="Arial" w:hAnsi="Arial" w:eastAsia="Arial" w:cs="Arial"/>
      <w:b/>
      <w:color w:val="000000"/>
      <w:sz w:val="24"/>
    </w:rPr>
  </w:style>
  <w:style w:type="character" w:styleId="Nagwek3Znak">
    <w:name w:val="Nagłówek 3 Znak"/>
    <w:qFormat/>
    <w:rPr>
      <w:rFonts w:ascii="Arial" w:hAnsi="Arial" w:eastAsia="Arial" w:cs="Arial"/>
      <w:b/>
      <w:color w:val="000000"/>
      <w:sz w:val="24"/>
      <w:u w:val="single" w:color="000000"/>
    </w:rPr>
  </w:style>
  <w:style w:type="character" w:styleId="Hyperlink">
    <w:name w:val="Hyperlink"/>
    <w:rPr>
      <w:color w:val="000080"/>
      <w:u w:val="single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Footer">
    <w:name w:val="Footer"/>
    <w:basedOn w:val="Gwkaistopka"/>
    <w:pPr>
      <w:suppressLineNumbers/>
    </w:pPr>
    <w:rPr/>
  </w:style>
  <w:style w:type="paragraph" w:styleId="Header">
    <w:name w:val="Header"/>
    <w:basedOn w:val="Gwkaistopka"/>
    <w:pPr>
      <w:suppressLineNumbers/>
    </w:pPr>
    <w:rPr/>
  </w:style>
  <w:style w:type="numbering" w:styleId="WW8Num1">
    <w:name w:val="WW8Num1"/>
    <w:qFormat/>
  </w:style>
  <w:style w:type="numbering" w:styleId="WW8Num2">
    <w:name w:val="WW8Num2"/>
    <w:qFormat/>
  </w:style>
  <w:style w:type="numbering" w:styleId="WW8Num3">
    <w:name w:val="WW8Num3"/>
    <w:qFormat/>
  </w:style>
  <w:style w:type="numbering" w:styleId="WW8Num4">
    <w:name w:val="WW8Num4"/>
    <w:qFormat/>
  </w:style>
  <w:style w:type="numbering" w:styleId="WW8Num5">
    <w:name w:val="WW8Num5"/>
    <w:qFormat/>
  </w:style>
  <w:style w:type="numbering" w:styleId="WW8Num6">
    <w:name w:val="WW8Num6"/>
    <w:qFormat/>
  </w:style>
  <w:style w:type="numbering" w:styleId="WW8Num7">
    <w:name w:val="WW8Num7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318</TotalTime>
  <Application>LibreOffice/7.6.2.1$Windows_X86_64 LibreOffice_project/56f7684011345957bbf33a7ee678afaf4d2ba333</Application>
  <AppVersion>15.0000</AppVersion>
  <Pages>11</Pages>
  <Words>1858</Words>
  <Characters>12783</Characters>
  <CharactersWithSpaces>14575</CharactersWithSpaces>
  <Paragraphs>183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2026-03-02T09:39:14Z</dcterms:created>
  <dc:creator/>
  <dc:description/>
  <dc:language>pl-PL</dc:language>
  <cp:lastModifiedBy/>
  <cp:lastPrinted>2025-11-30T14:52:00Z</cp:lastPrinted>
  <dcterms:modified xsi:type="dcterms:W3CDTF">2026-03-02T09:45:41Z</dcterms:modified>
  <cp:revision>21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